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675" w:rsidRPr="00227C94" w:rsidRDefault="00916675" w:rsidP="00916675">
      <w:pPr>
        <w:pStyle w:val="a4"/>
      </w:pPr>
    </w:p>
    <w:p w:rsidR="00916675" w:rsidRPr="00227C94" w:rsidRDefault="00227C94" w:rsidP="00916675">
      <w:pPr>
        <w:pStyle w:val="a4"/>
      </w:pPr>
      <w:r>
        <w:rPr>
          <w:noProof/>
        </w:rPr>
        <mc:AlternateContent>
          <mc:Choice Requires="wps">
            <w:drawing>
              <wp:anchor distT="0" distB="0" distL="0" distR="0" simplePos="0" relativeHeight="251657216" behindDoc="0" locked="0" layoutInCell="1" allowOverlap="1">
                <wp:simplePos x="0" y="0"/>
                <wp:positionH relativeFrom="page">
                  <wp:posOffset>2340610</wp:posOffset>
                </wp:positionH>
                <wp:positionV relativeFrom="page">
                  <wp:posOffset>2411730</wp:posOffset>
                </wp:positionV>
                <wp:extent cx="3328670" cy="2700020"/>
                <wp:effectExtent l="3810" t="0" r="0" b="63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270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7153" w:rsidRPr="00330D4D" w:rsidRDefault="00387153" w:rsidP="00244E4B">
                            <w:pPr>
                              <w:pStyle w:val="Z01Arial22CompanyName"/>
                              <w:tabs>
                                <w:tab w:val="left" w:pos="426"/>
                              </w:tabs>
                              <w:rPr>
                                <w:lang w:val="en-US"/>
                              </w:rPr>
                            </w:pPr>
                            <w:r w:rsidRPr="00330D4D">
                              <w:rPr>
                                <w:lang w:val="en-US"/>
                              </w:rPr>
                              <w:t>Polyus Gold International Limited</w:t>
                            </w:r>
                          </w:p>
                          <w:p w:rsidR="00387153" w:rsidRPr="00330D4D" w:rsidRDefault="00387153" w:rsidP="00916675">
                            <w:pPr>
                              <w:pStyle w:val="Z02Arial16Blank"/>
                              <w:rPr>
                                <w:lang w:val="en-US"/>
                              </w:rPr>
                            </w:pPr>
                          </w:p>
                          <w:p w:rsidR="00387153" w:rsidRPr="00330D4D" w:rsidRDefault="00387153" w:rsidP="00244E4B">
                            <w:pPr>
                              <w:pStyle w:val="Z03Arial11"/>
                              <w:rPr>
                                <w:rFonts w:ascii="Times New Roman" w:eastAsia="MS Mincho" w:hAnsi="Times New Roman" w:cs="Times New Roman"/>
                                <w:b/>
                                <w:lang w:val="en-US" w:eastAsia="ja-JP"/>
                              </w:rPr>
                            </w:pPr>
                            <w:r w:rsidRPr="00330D4D">
                              <w:rPr>
                                <w:b/>
                                <w:lang w:val="en-US"/>
                              </w:rPr>
                              <w:t xml:space="preserve">Interim </w:t>
                            </w:r>
                            <w:r>
                              <w:rPr>
                                <w:b/>
                                <w:lang w:val="en-US"/>
                              </w:rPr>
                              <w:t>f</w:t>
                            </w:r>
                            <w:r w:rsidRPr="00330D4D">
                              <w:rPr>
                                <w:b/>
                                <w:lang w:val="en-US"/>
                              </w:rPr>
                              <w:t xml:space="preserve">inancial </w:t>
                            </w:r>
                            <w:r>
                              <w:rPr>
                                <w:b/>
                                <w:lang w:val="en-US"/>
                              </w:rPr>
                              <w:t>r</w:t>
                            </w:r>
                            <w:r w:rsidRPr="00330D4D">
                              <w:rPr>
                                <w:b/>
                                <w:lang w:val="en-US"/>
                              </w:rPr>
                              <w:t xml:space="preserve">eport </w:t>
                            </w:r>
                            <w:r>
                              <w:rPr>
                                <w:b/>
                                <w:lang w:val="en-US"/>
                              </w:rPr>
                              <w:br/>
                            </w:r>
                            <w:r w:rsidR="005D5A2C">
                              <w:rPr>
                                <w:b/>
                                <w:lang w:val="en-US"/>
                              </w:rPr>
                              <w:t>for the six months e</w:t>
                            </w:r>
                            <w:r w:rsidRPr="00330D4D">
                              <w:rPr>
                                <w:b/>
                                <w:lang w:val="en-US"/>
                              </w:rPr>
                              <w:t>nded 30 June 2012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4.3pt;margin-top:189.9pt;width:262.1pt;height:212.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l/ArwIAAKo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" filled="f" stroked="f">
                <v:textbox inset="0,0,0,0">
                  <w:txbxContent>
                    <w:p w:rsidR="00387153" w:rsidRPr="00330D4D" w:rsidRDefault="00387153" w:rsidP="00244E4B">
                      <w:pPr>
                        <w:pStyle w:val="Z01Arial22CompanyName"/>
                        <w:tabs>
                          <w:tab w:val="left" w:pos="426"/>
                        </w:tabs>
                        <w:rPr>
                          <w:lang w:val="en-US"/>
                        </w:rPr>
                      </w:pPr>
                      <w:r w:rsidRPr="00330D4D">
                        <w:rPr>
                          <w:lang w:val="en-US"/>
                        </w:rPr>
                        <w:t>Polyus Gold International Limited</w:t>
                      </w:r>
                    </w:p>
                    <w:p w:rsidR="00387153" w:rsidRPr="00330D4D" w:rsidRDefault="00387153" w:rsidP="00916675">
                      <w:pPr>
                        <w:pStyle w:val="Z02Arial16Blank"/>
                        <w:rPr>
                          <w:lang w:val="en-US"/>
                        </w:rPr>
                      </w:pPr>
                    </w:p>
                    <w:p w:rsidR="00387153" w:rsidRPr="00330D4D" w:rsidRDefault="00387153" w:rsidP="00244E4B">
                      <w:pPr>
                        <w:pStyle w:val="Z03Arial11"/>
                        <w:rPr>
                          <w:rFonts w:ascii="Times New Roman" w:eastAsia="MS Mincho" w:hAnsi="Times New Roman" w:cs="Times New Roman"/>
                          <w:b/>
                          <w:lang w:val="en-US" w:eastAsia="ja-JP"/>
                        </w:rPr>
                      </w:pPr>
                      <w:r w:rsidRPr="00330D4D">
                        <w:rPr>
                          <w:b/>
                          <w:lang w:val="en-US"/>
                        </w:rPr>
                        <w:t xml:space="preserve">Interim </w:t>
                      </w:r>
                      <w:r>
                        <w:rPr>
                          <w:b/>
                          <w:lang w:val="en-US"/>
                        </w:rPr>
                        <w:t>f</w:t>
                      </w:r>
                      <w:r w:rsidRPr="00330D4D">
                        <w:rPr>
                          <w:b/>
                          <w:lang w:val="en-US"/>
                        </w:rPr>
                        <w:t xml:space="preserve">inancial </w:t>
                      </w:r>
                      <w:r>
                        <w:rPr>
                          <w:b/>
                          <w:lang w:val="en-US"/>
                        </w:rPr>
                        <w:t>r</w:t>
                      </w:r>
                      <w:r w:rsidRPr="00330D4D">
                        <w:rPr>
                          <w:b/>
                          <w:lang w:val="en-US"/>
                        </w:rPr>
                        <w:t xml:space="preserve">eport </w:t>
                      </w:r>
                      <w:r>
                        <w:rPr>
                          <w:b/>
                          <w:lang w:val="en-US"/>
                        </w:rPr>
                        <w:br/>
                      </w:r>
                      <w:r w:rsidR="005D5A2C">
                        <w:rPr>
                          <w:b/>
                          <w:lang w:val="en-US"/>
                        </w:rPr>
                        <w:t>for the six months e</w:t>
                      </w:r>
                      <w:r w:rsidRPr="00330D4D">
                        <w:rPr>
                          <w:b/>
                          <w:lang w:val="en-US"/>
                        </w:rPr>
                        <w:t>nded 30 June 2012</w:t>
                      </w:r>
                    </w:p>
                  </w:txbxContent>
                </v:textbox>
                <w10:wrap anchorx="page" anchory="page"/>
              </v:shape>
            </w:pict>
          </mc:Fallback>
        </mc:AlternateContent>
      </w:r>
    </w:p>
    <w:p w:rsidR="00916675" w:rsidRPr="00227C94" w:rsidRDefault="00916675" w:rsidP="00916675">
      <w:pPr>
        <w:pStyle w:val="a4"/>
        <w:sectPr w:rsidR="00916675" w:rsidRPr="00227C94" w:rsidSect="00A34AA8">
          <w:pgSz w:w="11906" w:h="16838"/>
          <w:pgMar w:top="720" w:right="1077" w:bottom="431" w:left="1417" w:header="709" w:footer="709" w:gutter="0"/>
          <w:cols w:space="708"/>
          <w:docGrid w:linePitch="360"/>
        </w:sectPr>
      </w:pPr>
      <w:bookmarkStart w:id="0" w:name="_GoBack"/>
      <w:bookmarkEnd w:id="0"/>
    </w:p>
    <w:p w:rsidR="00916675" w:rsidRPr="00227C94" w:rsidRDefault="00916675" w:rsidP="00916675">
      <w:pPr>
        <w:pStyle w:val="Z1CompanyName14"/>
        <w:rPr>
          <w:lang w:val="en-US"/>
        </w:rPr>
      </w:pPr>
      <w:r w:rsidRPr="00227C94">
        <w:rPr>
          <w:lang w:val="en-US"/>
        </w:rPr>
        <w:lastRenderedPageBreak/>
        <w:t>Polyus Gold International Limited</w:t>
      </w:r>
    </w:p>
    <w:p w:rsidR="00916675" w:rsidRPr="00227C94" w:rsidRDefault="00916675" w:rsidP="00916675">
      <w:pPr>
        <w:pStyle w:val="Z03Arial11"/>
        <w:rPr>
          <w:lang w:val="en-US"/>
        </w:rPr>
      </w:pPr>
    </w:p>
    <w:p w:rsidR="00916675" w:rsidRPr="00227C94" w:rsidRDefault="00916675" w:rsidP="00916675">
      <w:pPr>
        <w:pStyle w:val="Z03Arial11"/>
        <w:rPr>
          <w:lang w:val="en-US"/>
        </w:rPr>
      </w:pPr>
    </w:p>
    <w:p w:rsidR="00916675" w:rsidRPr="00227C94" w:rsidRDefault="00916675" w:rsidP="00916675">
      <w:pPr>
        <w:pStyle w:val="Z1Contents"/>
        <w:rPr>
          <w:lang w:val="en-US"/>
        </w:rPr>
      </w:pPr>
      <w:bookmarkStart w:id="1" w:name="_top"/>
      <w:bookmarkEnd w:id="1"/>
      <w:r w:rsidRPr="00227C94">
        <w:rPr>
          <w:lang w:val="en-US"/>
        </w:rPr>
        <w:t>Contents</w:t>
      </w:r>
    </w:p>
    <w:p w:rsidR="00916675" w:rsidRPr="00227C94" w:rsidRDefault="00916675" w:rsidP="00916675">
      <w:pPr>
        <w:pStyle w:val="Z03Arial11"/>
        <w:rPr>
          <w:lang w:val="en-US"/>
        </w:rPr>
      </w:pPr>
    </w:p>
    <w:p w:rsidR="00916675" w:rsidRPr="00227C94" w:rsidRDefault="00916675" w:rsidP="00916675">
      <w:pPr>
        <w:pStyle w:val="Z03Arial11"/>
        <w:rPr>
          <w:lang w:val="en-US"/>
        </w:rPr>
      </w:pPr>
    </w:p>
    <w:p w:rsidR="00916675" w:rsidRPr="00227C94" w:rsidRDefault="00916675" w:rsidP="00916675">
      <w:pPr>
        <w:pStyle w:val="Z1Pagewd"/>
        <w:rPr>
          <w:lang w:val="en-US"/>
        </w:rPr>
      </w:pPr>
      <w:r w:rsidRPr="00227C94">
        <w:rPr>
          <w:lang w:val="en-US"/>
        </w:rPr>
        <w:t>Page</w:t>
      </w:r>
    </w:p>
    <w:p w:rsidR="00916675" w:rsidRPr="00227C94" w:rsidRDefault="00916675" w:rsidP="00916675">
      <w:pPr>
        <w:pStyle w:val="11"/>
        <w:rPr>
          <w:lang w:val="en-US"/>
        </w:rPr>
      </w:pPr>
    </w:p>
    <w:p w:rsidR="00916675" w:rsidRPr="00227C94" w:rsidRDefault="003F093D" w:rsidP="00916675">
      <w:pPr>
        <w:pStyle w:val="11"/>
        <w:rPr>
          <w:caps w:val="0"/>
          <w:lang w:val="en-US"/>
        </w:rPr>
      </w:pPr>
      <w:r w:rsidRPr="00227C94">
        <w:rPr>
          <w:caps w:val="0"/>
          <w:lang w:val="en-US"/>
        </w:rPr>
        <w:t>H</w:t>
      </w:r>
      <w:r w:rsidR="007448AA" w:rsidRPr="00227C94">
        <w:rPr>
          <w:caps w:val="0"/>
          <w:lang w:val="en-US"/>
        </w:rPr>
        <w:t>ighlights</w:t>
      </w:r>
      <w:r w:rsidR="007448AA" w:rsidRPr="00227C94">
        <w:rPr>
          <w:caps w:val="0"/>
          <w:lang w:val="en-US"/>
        </w:rPr>
        <w:tab/>
        <w:t>1</w:t>
      </w:r>
    </w:p>
    <w:p w:rsidR="00916675" w:rsidRPr="00227C94" w:rsidRDefault="00916675" w:rsidP="00916675">
      <w:pPr>
        <w:pStyle w:val="11"/>
        <w:rPr>
          <w:caps w:val="0"/>
          <w:lang w:val="en-US"/>
        </w:rPr>
      </w:pPr>
    </w:p>
    <w:p w:rsidR="00916675" w:rsidRPr="00227C94" w:rsidRDefault="003F093D" w:rsidP="00916675">
      <w:pPr>
        <w:pStyle w:val="11"/>
        <w:rPr>
          <w:caps w:val="0"/>
          <w:lang w:val="en-US"/>
        </w:rPr>
      </w:pPr>
      <w:r w:rsidRPr="00227C94">
        <w:rPr>
          <w:caps w:val="0"/>
          <w:lang w:val="en-US"/>
        </w:rPr>
        <w:t>C</w:t>
      </w:r>
      <w:r w:rsidR="00916675" w:rsidRPr="00227C94">
        <w:rPr>
          <w:caps w:val="0"/>
          <w:lang w:val="en-US"/>
        </w:rPr>
        <w:t>hi</w:t>
      </w:r>
      <w:r w:rsidR="007448AA" w:rsidRPr="00227C94">
        <w:rPr>
          <w:caps w:val="0"/>
          <w:lang w:val="en-US"/>
        </w:rPr>
        <w:t>ef executive officer</w:t>
      </w:r>
      <w:r w:rsidR="003639F2" w:rsidRPr="00227C94">
        <w:rPr>
          <w:caps w:val="0"/>
          <w:lang w:val="en-US"/>
        </w:rPr>
        <w:t>’s</w:t>
      </w:r>
      <w:r w:rsidR="007448AA" w:rsidRPr="00227C94">
        <w:rPr>
          <w:caps w:val="0"/>
          <w:lang w:val="en-US"/>
        </w:rPr>
        <w:t xml:space="preserve"> statement</w:t>
      </w:r>
      <w:r w:rsidR="007448AA" w:rsidRPr="00227C94">
        <w:rPr>
          <w:caps w:val="0"/>
          <w:lang w:val="en-US"/>
        </w:rPr>
        <w:tab/>
        <w:t>3</w:t>
      </w:r>
    </w:p>
    <w:p w:rsidR="00916675" w:rsidRPr="00227C94" w:rsidRDefault="00916675" w:rsidP="00916675">
      <w:pPr>
        <w:pStyle w:val="11"/>
        <w:rPr>
          <w:caps w:val="0"/>
          <w:lang w:val="en-US"/>
        </w:rPr>
      </w:pPr>
    </w:p>
    <w:p w:rsidR="005E1C57" w:rsidRPr="00227C94" w:rsidRDefault="00BE1794" w:rsidP="005E1C57">
      <w:pPr>
        <w:pStyle w:val="11"/>
        <w:rPr>
          <w:caps w:val="0"/>
          <w:lang w:val="en-US"/>
        </w:rPr>
      </w:pPr>
      <w:r w:rsidRPr="00227C94">
        <w:rPr>
          <w:caps w:val="0"/>
          <w:lang w:val="en-US"/>
        </w:rPr>
        <w:t>Interim management report</w:t>
      </w:r>
      <w:r w:rsidRPr="00227C94">
        <w:rPr>
          <w:caps w:val="0"/>
          <w:lang w:val="en-US"/>
        </w:rPr>
        <w:tab/>
        <w:t>4</w:t>
      </w:r>
    </w:p>
    <w:p w:rsidR="005E1C57" w:rsidRPr="00227C94" w:rsidRDefault="005E1C57" w:rsidP="005E1C57">
      <w:pPr>
        <w:rPr>
          <w:lang w:eastAsia="ru-RU"/>
        </w:rPr>
      </w:pPr>
    </w:p>
    <w:p w:rsidR="003639F2" w:rsidRPr="00227C94" w:rsidRDefault="003639F2" w:rsidP="003639F2">
      <w:pPr>
        <w:pStyle w:val="11"/>
        <w:ind w:firstLine="284"/>
        <w:rPr>
          <w:caps w:val="0"/>
          <w:lang w:val="en-US"/>
        </w:rPr>
      </w:pPr>
      <w:r w:rsidRPr="00227C94">
        <w:rPr>
          <w:caps w:val="0"/>
          <w:lang w:val="en-US"/>
        </w:rPr>
        <w:t>The Group’s operating results</w:t>
      </w:r>
      <w:r w:rsidRPr="00227C94">
        <w:rPr>
          <w:caps w:val="0"/>
          <w:lang w:val="en-US"/>
        </w:rPr>
        <w:tab/>
        <w:t>5</w:t>
      </w:r>
    </w:p>
    <w:p w:rsidR="003639F2" w:rsidRPr="00227C94" w:rsidRDefault="003639F2" w:rsidP="003639F2">
      <w:pPr>
        <w:ind w:firstLine="284"/>
        <w:rPr>
          <w:lang w:eastAsia="ru-RU"/>
        </w:rPr>
      </w:pPr>
    </w:p>
    <w:p w:rsidR="003639F2" w:rsidRPr="00227C94" w:rsidRDefault="003639F2" w:rsidP="003639F2">
      <w:pPr>
        <w:pStyle w:val="11"/>
        <w:ind w:firstLine="284"/>
        <w:rPr>
          <w:caps w:val="0"/>
          <w:lang w:val="en-US"/>
        </w:rPr>
      </w:pPr>
      <w:r w:rsidRPr="00227C94">
        <w:rPr>
          <w:caps w:val="0"/>
          <w:lang w:val="en-US"/>
        </w:rPr>
        <w:t>Summary of performa</w:t>
      </w:r>
      <w:r w:rsidR="00244E4B" w:rsidRPr="00227C94">
        <w:rPr>
          <w:caps w:val="0"/>
          <w:lang w:val="en-US"/>
        </w:rPr>
        <w:t>nce results by business units</w:t>
      </w:r>
      <w:r w:rsidR="00244E4B" w:rsidRPr="00227C94">
        <w:rPr>
          <w:caps w:val="0"/>
          <w:lang w:val="en-US"/>
        </w:rPr>
        <w:tab/>
        <w:t>17</w:t>
      </w:r>
    </w:p>
    <w:p w:rsidR="003639F2" w:rsidRPr="00227C94" w:rsidRDefault="003639F2" w:rsidP="003639F2">
      <w:pPr>
        <w:ind w:firstLine="284"/>
        <w:rPr>
          <w:lang w:eastAsia="ru-RU"/>
        </w:rPr>
      </w:pPr>
    </w:p>
    <w:p w:rsidR="003639F2" w:rsidRPr="00227C94" w:rsidRDefault="00244E4B" w:rsidP="003639F2">
      <w:pPr>
        <w:pStyle w:val="11"/>
        <w:ind w:firstLine="284"/>
        <w:rPr>
          <w:caps w:val="0"/>
          <w:lang w:val="en-US"/>
        </w:rPr>
      </w:pPr>
      <w:r w:rsidRPr="00227C94">
        <w:rPr>
          <w:caps w:val="0"/>
          <w:lang w:val="en-US"/>
        </w:rPr>
        <w:t>Non-GAAP financial measures</w:t>
      </w:r>
      <w:r w:rsidRPr="00227C94">
        <w:rPr>
          <w:caps w:val="0"/>
          <w:lang w:val="en-US"/>
        </w:rPr>
        <w:tab/>
        <w:t>21</w:t>
      </w:r>
    </w:p>
    <w:p w:rsidR="003639F2" w:rsidRPr="00227C94" w:rsidRDefault="003639F2" w:rsidP="003639F2">
      <w:pPr>
        <w:ind w:firstLine="284"/>
        <w:rPr>
          <w:lang w:eastAsia="ru-RU"/>
        </w:rPr>
      </w:pPr>
    </w:p>
    <w:p w:rsidR="003639F2" w:rsidRPr="00227C94" w:rsidRDefault="003639F2" w:rsidP="003639F2">
      <w:pPr>
        <w:pStyle w:val="11"/>
        <w:ind w:firstLine="284"/>
        <w:rPr>
          <w:caps w:val="0"/>
          <w:lang w:val="en-US"/>
        </w:rPr>
      </w:pPr>
      <w:r w:rsidRPr="00227C94">
        <w:rPr>
          <w:caps w:val="0"/>
          <w:lang w:val="en-US"/>
        </w:rPr>
        <w:t>Review of financia</w:t>
      </w:r>
      <w:r w:rsidR="00B71A14" w:rsidRPr="00227C94">
        <w:rPr>
          <w:caps w:val="0"/>
          <w:lang w:val="en-US"/>
        </w:rPr>
        <w:t>l sustainability and solvency</w:t>
      </w:r>
      <w:r w:rsidR="00B71A14" w:rsidRPr="00227C94">
        <w:rPr>
          <w:caps w:val="0"/>
          <w:lang w:val="en-US"/>
        </w:rPr>
        <w:tab/>
        <w:t>24</w:t>
      </w:r>
    </w:p>
    <w:p w:rsidR="003639F2" w:rsidRPr="00227C94" w:rsidRDefault="003639F2" w:rsidP="003639F2">
      <w:pPr>
        <w:ind w:firstLine="284"/>
        <w:rPr>
          <w:lang w:eastAsia="ru-RU"/>
        </w:rPr>
      </w:pPr>
    </w:p>
    <w:p w:rsidR="003639F2" w:rsidRPr="00227C94" w:rsidRDefault="003639F2" w:rsidP="003639F2">
      <w:pPr>
        <w:pStyle w:val="11"/>
        <w:ind w:firstLine="284"/>
        <w:rPr>
          <w:caps w:val="0"/>
          <w:lang w:val="en-US"/>
        </w:rPr>
      </w:pPr>
      <w:r w:rsidRPr="00227C94">
        <w:rPr>
          <w:caps w:val="0"/>
          <w:lang w:val="en-US"/>
        </w:rPr>
        <w:t>D</w:t>
      </w:r>
      <w:r w:rsidR="00244E4B" w:rsidRPr="00227C94">
        <w:rPr>
          <w:caps w:val="0"/>
          <w:lang w:val="en-US"/>
        </w:rPr>
        <w:t>escription of principal risks</w:t>
      </w:r>
      <w:r w:rsidR="00244E4B" w:rsidRPr="00227C94">
        <w:rPr>
          <w:caps w:val="0"/>
          <w:lang w:val="en-US"/>
        </w:rPr>
        <w:tab/>
        <w:t>30</w:t>
      </w:r>
    </w:p>
    <w:p w:rsidR="003639F2" w:rsidRPr="00227C94" w:rsidRDefault="003639F2" w:rsidP="003639F2">
      <w:pPr>
        <w:pStyle w:val="11"/>
        <w:ind w:firstLine="284"/>
        <w:rPr>
          <w:caps w:val="0"/>
          <w:lang w:val="en-US"/>
        </w:rPr>
      </w:pPr>
    </w:p>
    <w:p w:rsidR="003639F2" w:rsidRPr="00227C94" w:rsidRDefault="001D1322" w:rsidP="003639F2">
      <w:pPr>
        <w:pStyle w:val="11"/>
        <w:ind w:firstLine="284"/>
        <w:rPr>
          <w:caps w:val="0"/>
          <w:lang w:val="en-US"/>
        </w:rPr>
      </w:pPr>
      <w:r w:rsidRPr="00227C94">
        <w:rPr>
          <w:caps w:val="0"/>
          <w:lang w:val="en-US"/>
        </w:rPr>
        <w:t>Related-parties</w:t>
      </w:r>
      <w:r w:rsidR="00B71A14" w:rsidRPr="00227C94">
        <w:rPr>
          <w:caps w:val="0"/>
          <w:lang w:val="en-US"/>
        </w:rPr>
        <w:t xml:space="preserve"> transactions</w:t>
      </w:r>
      <w:r w:rsidR="00B71A14" w:rsidRPr="00227C94">
        <w:rPr>
          <w:caps w:val="0"/>
          <w:lang w:val="en-US"/>
        </w:rPr>
        <w:tab/>
        <w:t>33</w:t>
      </w:r>
    </w:p>
    <w:p w:rsidR="003639F2" w:rsidRPr="00227C94" w:rsidRDefault="003639F2" w:rsidP="003639F2">
      <w:pPr>
        <w:pStyle w:val="11"/>
        <w:ind w:firstLine="284"/>
        <w:rPr>
          <w:caps w:val="0"/>
          <w:lang w:val="en-US"/>
        </w:rPr>
      </w:pPr>
    </w:p>
    <w:p w:rsidR="003639F2" w:rsidRPr="00227C94" w:rsidRDefault="003639F2" w:rsidP="003639F2">
      <w:pPr>
        <w:pStyle w:val="11"/>
        <w:ind w:firstLine="284"/>
        <w:rPr>
          <w:caps w:val="0"/>
          <w:lang w:val="en-US"/>
        </w:rPr>
      </w:pPr>
      <w:r w:rsidRPr="00227C94">
        <w:rPr>
          <w:caps w:val="0"/>
          <w:lang w:val="en-US"/>
        </w:rPr>
        <w:t>Going concern</w:t>
      </w:r>
      <w:r w:rsidR="001C03A7" w:rsidRPr="00227C94">
        <w:rPr>
          <w:caps w:val="0"/>
          <w:lang w:val="en-US"/>
        </w:rPr>
        <w:t xml:space="preserve"> statement</w:t>
      </w:r>
      <w:r w:rsidR="00B71A14" w:rsidRPr="00227C94">
        <w:rPr>
          <w:caps w:val="0"/>
          <w:lang w:val="en-US"/>
        </w:rPr>
        <w:tab/>
        <w:t>34</w:t>
      </w:r>
    </w:p>
    <w:p w:rsidR="001D1322" w:rsidRPr="00227C94" w:rsidRDefault="001D1322" w:rsidP="001D1322">
      <w:pPr>
        <w:rPr>
          <w:lang w:eastAsia="ru-RU"/>
        </w:rPr>
      </w:pPr>
    </w:p>
    <w:p w:rsidR="001D1322" w:rsidRPr="00227C94" w:rsidRDefault="001C03A7" w:rsidP="001D1322">
      <w:pPr>
        <w:pStyle w:val="11"/>
        <w:ind w:firstLine="284"/>
        <w:rPr>
          <w:caps w:val="0"/>
          <w:lang w:val="en-US"/>
        </w:rPr>
      </w:pPr>
      <w:r w:rsidRPr="00227C94">
        <w:rPr>
          <w:caps w:val="0"/>
          <w:lang w:val="en-US"/>
        </w:rPr>
        <w:t>Production</w:t>
      </w:r>
      <w:r w:rsidR="001D1322" w:rsidRPr="00227C94">
        <w:rPr>
          <w:caps w:val="0"/>
          <w:lang w:val="en-US"/>
        </w:rPr>
        <w:t xml:space="preserve"> outlook</w:t>
      </w:r>
      <w:r w:rsidRPr="00227C94">
        <w:rPr>
          <w:caps w:val="0"/>
          <w:lang w:val="en-US"/>
        </w:rPr>
        <w:t xml:space="preserve"> for the year ending 31 December 2012</w:t>
      </w:r>
      <w:r w:rsidR="00B71A14" w:rsidRPr="00227C94">
        <w:rPr>
          <w:caps w:val="0"/>
          <w:lang w:val="en-US"/>
        </w:rPr>
        <w:tab/>
        <w:t>34</w:t>
      </w:r>
    </w:p>
    <w:p w:rsidR="00BE1794" w:rsidRPr="00227C94" w:rsidRDefault="00BE1794" w:rsidP="00BE1794">
      <w:pPr>
        <w:rPr>
          <w:lang w:eastAsia="ru-RU"/>
        </w:rPr>
      </w:pPr>
    </w:p>
    <w:p w:rsidR="00BE1794" w:rsidRPr="00227C94" w:rsidRDefault="003639F2" w:rsidP="00BE1794">
      <w:pPr>
        <w:pStyle w:val="11"/>
        <w:rPr>
          <w:caps w:val="0"/>
          <w:lang w:val="en-US"/>
        </w:rPr>
      </w:pPr>
      <w:r w:rsidRPr="00227C94">
        <w:rPr>
          <w:caps w:val="0"/>
          <w:lang w:val="en-US"/>
        </w:rPr>
        <w:t>Statement of directors’ responsibilities</w:t>
      </w:r>
      <w:r w:rsidR="00BE1794" w:rsidRPr="00227C94">
        <w:rPr>
          <w:caps w:val="0"/>
          <w:lang w:val="en-US"/>
        </w:rPr>
        <w:tab/>
      </w:r>
      <w:r w:rsidR="005E1C57" w:rsidRPr="00227C94">
        <w:rPr>
          <w:caps w:val="0"/>
          <w:lang w:val="en-US"/>
        </w:rPr>
        <w:t>3</w:t>
      </w:r>
      <w:r w:rsidR="00B71A14" w:rsidRPr="00227C94">
        <w:rPr>
          <w:caps w:val="0"/>
          <w:lang w:val="en-US"/>
        </w:rPr>
        <w:t>5</w:t>
      </w:r>
    </w:p>
    <w:p w:rsidR="00916675" w:rsidRPr="00227C94" w:rsidRDefault="00916675" w:rsidP="00916675">
      <w:pPr>
        <w:pStyle w:val="11"/>
        <w:rPr>
          <w:caps w:val="0"/>
          <w:lang w:val="en-US"/>
        </w:rPr>
      </w:pPr>
    </w:p>
    <w:p w:rsidR="00916675" w:rsidRPr="00227C94" w:rsidRDefault="003F093D" w:rsidP="00916675">
      <w:pPr>
        <w:pStyle w:val="11"/>
        <w:rPr>
          <w:caps w:val="0"/>
          <w:lang w:val="en-US"/>
        </w:rPr>
      </w:pPr>
      <w:r w:rsidRPr="00227C94">
        <w:rPr>
          <w:caps w:val="0"/>
          <w:lang w:val="en-US"/>
        </w:rPr>
        <w:t>I</w:t>
      </w:r>
      <w:r w:rsidR="00916675" w:rsidRPr="00227C94">
        <w:rPr>
          <w:caps w:val="0"/>
          <w:lang w:val="en-US"/>
        </w:rPr>
        <w:t>ndepe</w:t>
      </w:r>
      <w:r w:rsidR="00B71A14" w:rsidRPr="00227C94">
        <w:rPr>
          <w:caps w:val="0"/>
          <w:lang w:val="en-US"/>
        </w:rPr>
        <w:t>ndent auditors’ review report</w:t>
      </w:r>
      <w:r w:rsidR="00B71A14" w:rsidRPr="00227C94">
        <w:rPr>
          <w:caps w:val="0"/>
          <w:lang w:val="en-US"/>
        </w:rPr>
        <w:tab/>
        <w:t>36</w:t>
      </w:r>
    </w:p>
    <w:p w:rsidR="00BE1794" w:rsidRPr="00227C94" w:rsidRDefault="00BE1794" w:rsidP="00BE1794">
      <w:pPr>
        <w:rPr>
          <w:lang w:eastAsia="ru-RU"/>
        </w:rPr>
      </w:pPr>
    </w:p>
    <w:p w:rsidR="00916675" w:rsidRPr="00227C94" w:rsidRDefault="003F093D" w:rsidP="00916675">
      <w:pPr>
        <w:pStyle w:val="11"/>
        <w:rPr>
          <w:caps w:val="0"/>
          <w:lang w:val="en-US"/>
        </w:rPr>
      </w:pPr>
      <w:r w:rsidRPr="00227C94">
        <w:rPr>
          <w:caps w:val="0"/>
          <w:lang w:val="en-US"/>
        </w:rPr>
        <w:t>C</w:t>
      </w:r>
      <w:r w:rsidR="00916675" w:rsidRPr="00227C94">
        <w:rPr>
          <w:caps w:val="0"/>
          <w:lang w:val="en-US"/>
        </w:rPr>
        <w:t xml:space="preserve">ondensed </w:t>
      </w:r>
      <w:r w:rsidRPr="00227C94">
        <w:rPr>
          <w:caps w:val="0"/>
          <w:lang w:val="en-US"/>
        </w:rPr>
        <w:t xml:space="preserve">consolidated </w:t>
      </w:r>
      <w:r w:rsidR="00916675" w:rsidRPr="00227C94">
        <w:rPr>
          <w:caps w:val="0"/>
          <w:lang w:val="en-US"/>
        </w:rPr>
        <w:t xml:space="preserve">interim </w:t>
      </w:r>
      <w:r w:rsidRPr="00227C94">
        <w:rPr>
          <w:caps w:val="0"/>
          <w:lang w:val="en-US"/>
        </w:rPr>
        <w:t>income statement</w:t>
      </w:r>
      <w:r w:rsidR="003374EA" w:rsidRPr="00227C94">
        <w:rPr>
          <w:caps w:val="0"/>
          <w:lang w:val="en-US"/>
        </w:rPr>
        <w:tab/>
        <w:t>37</w:t>
      </w:r>
    </w:p>
    <w:p w:rsidR="00916675" w:rsidRPr="00227C94" w:rsidRDefault="00916675" w:rsidP="00916675">
      <w:pPr>
        <w:pStyle w:val="11"/>
        <w:rPr>
          <w:caps w:val="0"/>
          <w:lang w:val="en-US"/>
        </w:rPr>
      </w:pPr>
    </w:p>
    <w:p w:rsidR="00916675" w:rsidRPr="00227C94" w:rsidRDefault="003F093D" w:rsidP="00916675">
      <w:pPr>
        <w:pStyle w:val="11"/>
        <w:rPr>
          <w:caps w:val="0"/>
          <w:lang w:val="en-US"/>
        </w:rPr>
      </w:pPr>
      <w:r w:rsidRPr="00227C94">
        <w:rPr>
          <w:caps w:val="0"/>
          <w:lang w:val="en-US"/>
        </w:rPr>
        <w:t>C</w:t>
      </w:r>
      <w:r w:rsidR="00916675" w:rsidRPr="00227C94">
        <w:rPr>
          <w:caps w:val="0"/>
          <w:lang w:val="en-US"/>
        </w:rPr>
        <w:t xml:space="preserve">ondensed </w:t>
      </w:r>
      <w:r w:rsidRPr="00227C94">
        <w:rPr>
          <w:caps w:val="0"/>
          <w:lang w:val="en-US"/>
        </w:rPr>
        <w:t>consolidated</w:t>
      </w:r>
      <w:r w:rsidR="00916675" w:rsidRPr="00227C94">
        <w:rPr>
          <w:caps w:val="0"/>
          <w:lang w:val="en-US"/>
        </w:rPr>
        <w:t xml:space="preserve"> interim stat</w:t>
      </w:r>
      <w:r w:rsidR="003374EA" w:rsidRPr="00227C94">
        <w:rPr>
          <w:caps w:val="0"/>
          <w:lang w:val="en-US"/>
        </w:rPr>
        <w:t>ement of comprehensive income</w:t>
      </w:r>
      <w:r w:rsidR="003374EA" w:rsidRPr="00227C94">
        <w:rPr>
          <w:caps w:val="0"/>
          <w:lang w:val="en-US"/>
        </w:rPr>
        <w:tab/>
        <w:t>38</w:t>
      </w:r>
    </w:p>
    <w:p w:rsidR="00916675" w:rsidRPr="00227C94" w:rsidRDefault="00916675" w:rsidP="00916675">
      <w:pPr>
        <w:pStyle w:val="11"/>
        <w:rPr>
          <w:caps w:val="0"/>
          <w:lang w:val="en-US"/>
        </w:rPr>
      </w:pPr>
    </w:p>
    <w:p w:rsidR="00916675" w:rsidRPr="00227C94" w:rsidRDefault="003F093D" w:rsidP="00916675">
      <w:pPr>
        <w:pStyle w:val="11"/>
        <w:rPr>
          <w:caps w:val="0"/>
          <w:lang w:val="en-US"/>
        </w:rPr>
      </w:pPr>
      <w:r w:rsidRPr="00227C94">
        <w:rPr>
          <w:caps w:val="0"/>
          <w:lang w:val="en-US"/>
        </w:rPr>
        <w:t>C</w:t>
      </w:r>
      <w:r w:rsidR="00916675" w:rsidRPr="00227C94">
        <w:rPr>
          <w:caps w:val="0"/>
          <w:lang w:val="en-US"/>
        </w:rPr>
        <w:t xml:space="preserve">ondensed </w:t>
      </w:r>
      <w:r w:rsidRPr="00227C94">
        <w:rPr>
          <w:caps w:val="0"/>
          <w:lang w:val="en-US"/>
        </w:rPr>
        <w:t>consolidated</w:t>
      </w:r>
      <w:r w:rsidR="00916675" w:rsidRPr="00227C94">
        <w:rPr>
          <w:caps w:val="0"/>
          <w:lang w:val="en-US"/>
        </w:rPr>
        <w:t xml:space="preserve"> interim st</w:t>
      </w:r>
      <w:r w:rsidR="003374EA" w:rsidRPr="00227C94">
        <w:rPr>
          <w:caps w:val="0"/>
          <w:lang w:val="en-US"/>
        </w:rPr>
        <w:t>atement of financial position</w:t>
      </w:r>
      <w:r w:rsidR="003374EA" w:rsidRPr="00227C94">
        <w:rPr>
          <w:caps w:val="0"/>
          <w:lang w:val="en-US"/>
        </w:rPr>
        <w:tab/>
        <w:t>39</w:t>
      </w:r>
    </w:p>
    <w:p w:rsidR="00916675" w:rsidRPr="00227C94" w:rsidRDefault="00916675" w:rsidP="00916675">
      <w:pPr>
        <w:pStyle w:val="11"/>
        <w:rPr>
          <w:caps w:val="0"/>
          <w:lang w:val="en-US"/>
        </w:rPr>
      </w:pPr>
    </w:p>
    <w:p w:rsidR="00916675" w:rsidRPr="00227C94" w:rsidRDefault="003F093D" w:rsidP="00916675">
      <w:pPr>
        <w:pStyle w:val="11"/>
        <w:rPr>
          <w:caps w:val="0"/>
          <w:lang w:val="en-US"/>
        </w:rPr>
      </w:pPr>
      <w:r w:rsidRPr="00227C94">
        <w:rPr>
          <w:caps w:val="0"/>
          <w:lang w:val="en-US"/>
        </w:rPr>
        <w:t>C</w:t>
      </w:r>
      <w:r w:rsidR="002F1D5B" w:rsidRPr="00227C94">
        <w:rPr>
          <w:caps w:val="0"/>
          <w:lang w:val="en-US"/>
        </w:rPr>
        <w:t>ondensed</w:t>
      </w:r>
      <w:r w:rsidRPr="00227C94">
        <w:rPr>
          <w:caps w:val="0"/>
          <w:lang w:val="en-US"/>
        </w:rPr>
        <w:t xml:space="preserve"> consolidated</w:t>
      </w:r>
      <w:r w:rsidR="00916675" w:rsidRPr="00227C94">
        <w:rPr>
          <w:caps w:val="0"/>
          <w:lang w:val="en-US"/>
        </w:rPr>
        <w:t xml:space="preserve"> interim </w:t>
      </w:r>
      <w:r w:rsidRPr="00227C94">
        <w:rPr>
          <w:caps w:val="0"/>
          <w:lang w:val="en-US"/>
        </w:rPr>
        <w:t>statement of changes in equity</w:t>
      </w:r>
      <w:r w:rsidR="003374EA" w:rsidRPr="00227C94">
        <w:rPr>
          <w:caps w:val="0"/>
          <w:lang w:val="en-US"/>
        </w:rPr>
        <w:tab/>
        <w:t>40</w:t>
      </w:r>
    </w:p>
    <w:p w:rsidR="00916675" w:rsidRPr="00227C94" w:rsidRDefault="00916675" w:rsidP="00916675">
      <w:pPr>
        <w:pStyle w:val="11"/>
        <w:rPr>
          <w:caps w:val="0"/>
          <w:lang w:val="en-US"/>
        </w:rPr>
      </w:pPr>
    </w:p>
    <w:p w:rsidR="00916675" w:rsidRPr="00227C94" w:rsidRDefault="003F093D" w:rsidP="00916675">
      <w:pPr>
        <w:pStyle w:val="11"/>
        <w:rPr>
          <w:caps w:val="0"/>
          <w:lang w:val="en-US"/>
        </w:rPr>
      </w:pPr>
      <w:r w:rsidRPr="00227C94">
        <w:rPr>
          <w:caps w:val="0"/>
          <w:lang w:val="en-US"/>
        </w:rPr>
        <w:t>C</w:t>
      </w:r>
      <w:r w:rsidR="00916675" w:rsidRPr="00227C94">
        <w:rPr>
          <w:caps w:val="0"/>
          <w:lang w:val="en-US"/>
        </w:rPr>
        <w:t xml:space="preserve">ondensed </w:t>
      </w:r>
      <w:r w:rsidRPr="00227C94">
        <w:rPr>
          <w:caps w:val="0"/>
          <w:lang w:val="en-US"/>
        </w:rPr>
        <w:t>consolidated</w:t>
      </w:r>
      <w:r w:rsidR="00916675" w:rsidRPr="00227C94">
        <w:rPr>
          <w:caps w:val="0"/>
          <w:lang w:val="en-US"/>
        </w:rPr>
        <w:t xml:space="preserve"> interim </w:t>
      </w:r>
      <w:r w:rsidR="002F1D5B" w:rsidRPr="00227C94">
        <w:rPr>
          <w:caps w:val="0"/>
          <w:lang w:val="en-US"/>
        </w:rPr>
        <w:t>statement</w:t>
      </w:r>
      <w:r w:rsidRPr="00227C94">
        <w:rPr>
          <w:caps w:val="0"/>
          <w:lang w:val="en-US"/>
        </w:rPr>
        <w:t xml:space="preserve"> of cash flow</w:t>
      </w:r>
      <w:r w:rsidR="003374EA" w:rsidRPr="00227C94">
        <w:rPr>
          <w:caps w:val="0"/>
          <w:lang w:val="en-US"/>
        </w:rPr>
        <w:tab/>
        <w:t>41</w:t>
      </w:r>
    </w:p>
    <w:p w:rsidR="00916675" w:rsidRPr="00227C94" w:rsidRDefault="00916675" w:rsidP="00916675">
      <w:pPr>
        <w:pStyle w:val="11"/>
        <w:rPr>
          <w:caps w:val="0"/>
          <w:lang w:val="en-US"/>
        </w:rPr>
      </w:pPr>
    </w:p>
    <w:p w:rsidR="00916675" w:rsidRPr="00227C94" w:rsidRDefault="003F093D" w:rsidP="00916675">
      <w:pPr>
        <w:pStyle w:val="11"/>
        <w:rPr>
          <w:lang w:val="en-US"/>
        </w:rPr>
      </w:pPr>
      <w:r w:rsidRPr="00227C94">
        <w:rPr>
          <w:caps w:val="0"/>
          <w:lang w:val="en-US"/>
        </w:rPr>
        <w:t>Notes to the</w:t>
      </w:r>
      <w:r w:rsidR="00916675" w:rsidRPr="00227C94">
        <w:rPr>
          <w:caps w:val="0"/>
          <w:lang w:val="en-US"/>
        </w:rPr>
        <w:t xml:space="preserve"> condensed </w:t>
      </w:r>
      <w:r w:rsidRPr="00227C94">
        <w:rPr>
          <w:caps w:val="0"/>
          <w:lang w:val="en-US"/>
        </w:rPr>
        <w:t>consolidated</w:t>
      </w:r>
      <w:r w:rsidR="007448AA" w:rsidRPr="00227C94">
        <w:rPr>
          <w:caps w:val="0"/>
          <w:lang w:val="en-US"/>
        </w:rPr>
        <w:t xml:space="preserve"> interim </w:t>
      </w:r>
      <w:r w:rsidRPr="00227C94">
        <w:rPr>
          <w:caps w:val="0"/>
          <w:lang w:val="en-US"/>
        </w:rPr>
        <w:t xml:space="preserve">financial </w:t>
      </w:r>
      <w:r w:rsidR="007448AA" w:rsidRPr="00227C94">
        <w:rPr>
          <w:caps w:val="0"/>
          <w:lang w:val="en-US"/>
        </w:rPr>
        <w:t>statements</w:t>
      </w:r>
      <w:r w:rsidR="007448AA" w:rsidRPr="00227C94">
        <w:rPr>
          <w:lang w:val="en-US"/>
        </w:rPr>
        <w:tab/>
      </w:r>
      <w:r w:rsidR="003374EA" w:rsidRPr="00227C94">
        <w:rPr>
          <w:lang w:val="en-US"/>
        </w:rPr>
        <w:t>42</w:t>
      </w:r>
    </w:p>
    <w:p w:rsidR="00916675" w:rsidRPr="00227C94" w:rsidRDefault="00916675" w:rsidP="00916675">
      <w:pPr>
        <w:pStyle w:val="11"/>
        <w:rPr>
          <w:lang w:val="en-US"/>
        </w:rPr>
      </w:pPr>
    </w:p>
    <w:p w:rsidR="00916675" w:rsidRPr="00227C94" w:rsidRDefault="00916675" w:rsidP="00916675">
      <w:pPr>
        <w:pStyle w:val="11"/>
        <w:rPr>
          <w:lang w:val="en-US"/>
        </w:rPr>
      </w:pPr>
    </w:p>
    <w:p w:rsidR="00916675" w:rsidRPr="00227C94" w:rsidRDefault="00916675" w:rsidP="00916675">
      <w:pPr>
        <w:pStyle w:val="11"/>
        <w:rPr>
          <w:lang w:val="en-US"/>
        </w:rPr>
      </w:pPr>
    </w:p>
    <w:p w:rsidR="00916675" w:rsidRPr="00227C94" w:rsidRDefault="00916675" w:rsidP="00916675">
      <w:pPr>
        <w:pStyle w:val="11"/>
        <w:rPr>
          <w:lang w:val="en-US"/>
        </w:rPr>
        <w:sectPr w:rsidR="00916675" w:rsidRPr="00227C94" w:rsidSect="00916675">
          <w:pgSz w:w="11906" w:h="16838"/>
          <w:pgMar w:top="1701" w:right="1077" w:bottom="431" w:left="1417" w:header="709" w:footer="709" w:gutter="0"/>
          <w:cols w:space="708"/>
          <w:docGrid w:linePitch="360"/>
        </w:sectPr>
      </w:pPr>
    </w:p>
    <w:p w:rsidR="00916675" w:rsidRPr="00227C94" w:rsidRDefault="00916675" w:rsidP="00916675">
      <w:pPr>
        <w:pStyle w:val="Z2Opinion"/>
        <w:rPr>
          <w:lang w:val="en-US"/>
        </w:rPr>
      </w:pPr>
      <w:r w:rsidRPr="00227C94">
        <w:lastRenderedPageBreak/>
        <w:t>HIGHLIGHTS</w:t>
      </w:r>
    </w:p>
    <w:p w:rsidR="00916675" w:rsidRPr="00227C94" w:rsidRDefault="00916675" w:rsidP="00916675">
      <w:pPr>
        <w:pStyle w:val="a4"/>
        <w:rPr>
          <w:lang w:val="en-US"/>
        </w:rPr>
      </w:pPr>
    </w:p>
    <w:p w:rsidR="00916675" w:rsidRPr="00227C94" w:rsidRDefault="00916675" w:rsidP="00916675">
      <w:pPr>
        <w:pStyle w:val="a4"/>
        <w:rPr>
          <w:b/>
          <w:lang w:val="en-US"/>
        </w:rPr>
      </w:pPr>
      <w:r w:rsidRPr="00227C94">
        <w:rPr>
          <w:b/>
        </w:rPr>
        <w:t>Financial highlights</w:t>
      </w:r>
    </w:p>
    <w:p w:rsidR="00916675" w:rsidRPr="00227C94" w:rsidRDefault="00916675" w:rsidP="00916675">
      <w:pPr>
        <w:pStyle w:val="a4"/>
        <w:rPr>
          <w:b/>
          <w:lang w:val="en-US"/>
        </w:rPr>
      </w:pPr>
    </w:p>
    <w:p w:rsidR="00916675" w:rsidRPr="00227C94" w:rsidRDefault="00916675" w:rsidP="00916675">
      <w:pPr>
        <w:pStyle w:val="a0"/>
        <w:rPr>
          <w:lang w:val="en-US"/>
        </w:rPr>
      </w:pPr>
      <w:bookmarkStart w:id="2" w:name="_DV_M3"/>
      <w:bookmarkStart w:id="3" w:name="_DV_M5"/>
      <w:bookmarkStart w:id="4" w:name="_DV_M7"/>
      <w:bookmarkStart w:id="5" w:name="_DV_M8"/>
      <w:bookmarkStart w:id="6" w:name="_DV_M10"/>
      <w:bookmarkStart w:id="7" w:name="_DV_M11"/>
      <w:bookmarkStart w:id="8" w:name="_DV_M12"/>
      <w:bookmarkStart w:id="9" w:name="_DV_M13"/>
      <w:bookmarkStart w:id="10" w:name="_DV_M15"/>
      <w:bookmarkStart w:id="11" w:name="_DV_M16"/>
      <w:bookmarkEnd w:id="2"/>
      <w:bookmarkEnd w:id="3"/>
      <w:bookmarkEnd w:id="4"/>
      <w:bookmarkEnd w:id="5"/>
      <w:bookmarkEnd w:id="6"/>
      <w:bookmarkEnd w:id="7"/>
      <w:bookmarkEnd w:id="8"/>
      <w:bookmarkEnd w:id="9"/>
      <w:bookmarkEnd w:id="10"/>
      <w:bookmarkEnd w:id="11"/>
      <w:r w:rsidRPr="00227C94">
        <w:rPr>
          <w:lang w:val="en-US"/>
        </w:rPr>
        <w:t>Gold sales up by 36% to USD1.2 billion, reflecting increased sales volumes and higher gold price (H1 2011: USD0.9 billion);</w:t>
      </w:r>
    </w:p>
    <w:p w:rsidR="00916675" w:rsidRPr="00227C94" w:rsidRDefault="00916675" w:rsidP="00916675">
      <w:pPr>
        <w:pStyle w:val="a0"/>
        <w:rPr>
          <w:b/>
          <w:lang w:val="en-US"/>
        </w:rPr>
      </w:pPr>
      <w:r w:rsidRPr="00227C94">
        <w:rPr>
          <w:lang w:val="en-US"/>
        </w:rPr>
        <w:t xml:space="preserve">Total cash costs per ounce rose by 8% to USD664 per troy ounce, a significant </w:t>
      </w:r>
      <w:r w:rsidR="002F1D5B" w:rsidRPr="00227C94">
        <w:rPr>
          <w:lang w:val="en-US"/>
        </w:rPr>
        <w:t xml:space="preserve">decrease </w:t>
      </w:r>
      <w:r w:rsidRPr="00227C94">
        <w:rPr>
          <w:lang w:val="en-US"/>
        </w:rPr>
        <w:t>in cost growth compared to previous periods;</w:t>
      </w:r>
    </w:p>
    <w:p w:rsidR="00916675" w:rsidRPr="00227C94" w:rsidRDefault="00916675" w:rsidP="00916675">
      <w:pPr>
        <w:pStyle w:val="a0"/>
        <w:rPr>
          <w:lang w:val="en-US"/>
        </w:rPr>
      </w:pPr>
      <w:r w:rsidRPr="00227C94">
        <w:rPr>
          <w:spacing w:val="-4"/>
          <w:lang w:val="en-US"/>
        </w:rPr>
        <w:t xml:space="preserve">EBITDA reached USD634 million, a 59% increase, while EBITDA margin </w:t>
      </w:r>
      <w:r w:rsidR="002F1D5B" w:rsidRPr="00227C94">
        <w:rPr>
          <w:spacing w:val="-4"/>
          <w:lang w:val="en-US"/>
        </w:rPr>
        <w:t xml:space="preserve">increased </w:t>
      </w:r>
      <w:r w:rsidRPr="00227C94">
        <w:rPr>
          <w:spacing w:val="-4"/>
          <w:lang w:val="en-US"/>
        </w:rPr>
        <w:t xml:space="preserve">from 43% in H1 2011 </w:t>
      </w:r>
      <w:r w:rsidRPr="00227C94">
        <w:rPr>
          <w:lang w:val="en-US"/>
        </w:rPr>
        <w:t>to 51%;</w:t>
      </w:r>
    </w:p>
    <w:p w:rsidR="00916675" w:rsidRPr="00227C94" w:rsidRDefault="00916675" w:rsidP="00916675">
      <w:pPr>
        <w:pStyle w:val="a0"/>
        <w:rPr>
          <w:lang w:val="en-US"/>
        </w:rPr>
      </w:pPr>
      <w:r w:rsidRPr="00227C94">
        <w:rPr>
          <w:lang w:val="en-US"/>
        </w:rPr>
        <w:t>Profit for the period more than doubled to USD426 million (H1 2011: USD207 million);</w:t>
      </w:r>
    </w:p>
    <w:p w:rsidR="00916675" w:rsidRPr="00227C94" w:rsidRDefault="00916675" w:rsidP="00916675">
      <w:pPr>
        <w:pStyle w:val="a0"/>
        <w:rPr>
          <w:lang w:val="en-US"/>
        </w:rPr>
      </w:pPr>
      <w:r w:rsidRPr="00227C94">
        <w:rPr>
          <w:lang w:val="en-US"/>
        </w:rPr>
        <w:t xml:space="preserve">EPS grew 133% to 14 US cents </w:t>
      </w:r>
      <w:r w:rsidR="002F1D5B" w:rsidRPr="00227C94">
        <w:rPr>
          <w:lang w:val="en-US"/>
        </w:rPr>
        <w:t>(H1 2011: 6 US cents)</w:t>
      </w:r>
      <w:r w:rsidRPr="00227C94">
        <w:rPr>
          <w:lang w:val="en-US"/>
        </w:rPr>
        <w:t>;</w:t>
      </w:r>
      <w:r w:rsidR="007568F1" w:rsidRPr="00227C94">
        <w:rPr>
          <w:lang w:val="en-US"/>
        </w:rPr>
        <w:t xml:space="preserve"> and</w:t>
      </w:r>
    </w:p>
    <w:p w:rsidR="00916675" w:rsidRPr="00227C94" w:rsidRDefault="00916675" w:rsidP="00916675">
      <w:pPr>
        <w:pStyle w:val="a0"/>
        <w:rPr>
          <w:spacing w:val="-4"/>
          <w:lang w:val="en-US"/>
        </w:rPr>
      </w:pPr>
      <w:r w:rsidRPr="00227C94">
        <w:rPr>
          <w:spacing w:val="-4"/>
          <w:lang w:val="en-US"/>
        </w:rPr>
        <w:t>Net cash position of USD532 million compared to net debt position of USD102 million at the end of 2011.</w:t>
      </w:r>
    </w:p>
    <w:p w:rsidR="00916675" w:rsidRPr="00227C94" w:rsidRDefault="00916675" w:rsidP="00916675">
      <w:pPr>
        <w:pStyle w:val="a4"/>
        <w:rPr>
          <w:lang w:val="en-US"/>
        </w:rPr>
      </w:pPr>
    </w:p>
    <w:p w:rsidR="00916675" w:rsidRPr="00227C94" w:rsidRDefault="00916675" w:rsidP="00916675">
      <w:pPr>
        <w:pStyle w:val="a4"/>
        <w:rPr>
          <w:b/>
          <w:lang w:val="en-US"/>
        </w:rPr>
      </w:pPr>
      <w:r w:rsidRPr="00227C94">
        <w:rPr>
          <w:b/>
          <w:lang w:val="en-US"/>
        </w:rPr>
        <w:t xml:space="preserve">Financial results for the 6 months ended 30 June 2012 and 30 June </w:t>
      </w:r>
      <w:proofErr w:type="gramStart"/>
      <w:r w:rsidRPr="00227C94">
        <w:rPr>
          <w:b/>
          <w:lang w:val="en-US"/>
        </w:rPr>
        <w:t>2011,</w:t>
      </w:r>
      <w:proofErr w:type="gramEnd"/>
      <w:r w:rsidRPr="00227C94">
        <w:rPr>
          <w:b/>
          <w:lang w:val="en-US"/>
        </w:rPr>
        <w:t xml:space="preserve"> and for the year ended </w:t>
      </w:r>
      <w:r w:rsidRPr="00227C94">
        <w:rPr>
          <w:b/>
          <w:lang w:val="en-US"/>
        </w:rPr>
        <w:br/>
        <w:t>31 December 2011</w:t>
      </w:r>
    </w:p>
    <w:p w:rsidR="00916675" w:rsidRPr="00227C94" w:rsidRDefault="00916675" w:rsidP="00916675">
      <w:pPr>
        <w:pStyle w:val="a4"/>
        <w:rPr>
          <w:b/>
          <w:lang w:val="en-US"/>
        </w:rPr>
      </w:pPr>
    </w:p>
    <w:tbl>
      <w:tblPr>
        <w:tblW w:w="9412" w:type="dxa"/>
        <w:tblLayout w:type="fixed"/>
        <w:tblCellMar>
          <w:left w:w="0" w:type="dxa"/>
          <w:right w:w="0" w:type="dxa"/>
        </w:tblCellMar>
        <w:tblLook w:val="0000" w:firstRow="0" w:lastRow="0" w:firstColumn="0" w:lastColumn="0" w:noHBand="0" w:noVBand="0"/>
      </w:tblPr>
      <w:tblGrid>
        <w:gridCol w:w="3405"/>
        <w:gridCol w:w="1417"/>
        <w:gridCol w:w="113"/>
        <w:gridCol w:w="1417"/>
        <w:gridCol w:w="113"/>
        <w:gridCol w:w="1417"/>
        <w:gridCol w:w="113"/>
        <w:gridCol w:w="1417"/>
      </w:tblGrid>
      <w:tr w:rsidR="00916675" w:rsidRPr="00227C94" w:rsidTr="00A701F4">
        <w:trPr>
          <w:cantSplit/>
        </w:trPr>
        <w:tc>
          <w:tcPr>
            <w:tcW w:w="3405" w:type="dxa"/>
            <w:tcBorders>
              <w:top w:val="nil"/>
              <w:left w:val="nil"/>
              <w:bottom w:val="nil"/>
              <w:right w:val="nil"/>
            </w:tcBorders>
            <w:vAlign w:val="bottom"/>
          </w:tcPr>
          <w:p w:rsidR="00916675" w:rsidRPr="00227C94" w:rsidRDefault="00916675" w:rsidP="00916675">
            <w:pPr>
              <w:pStyle w:val="tblHeaderText"/>
              <w:jc w:val="left"/>
              <w:rPr>
                <w:lang w:val="en-US"/>
              </w:rPr>
            </w:pPr>
          </w:p>
        </w:tc>
        <w:tc>
          <w:tcPr>
            <w:tcW w:w="2947" w:type="dxa"/>
            <w:gridSpan w:val="3"/>
            <w:tcBorders>
              <w:top w:val="nil"/>
              <w:left w:val="nil"/>
              <w:bottom w:val="single" w:sz="6" w:space="0" w:color="auto"/>
              <w:right w:val="nil"/>
            </w:tcBorders>
            <w:shd w:val="clear" w:color="auto" w:fill="auto"/>
            <w:vAlign w:val="bottom"/>
          </w:tcPr>
          <w:p w:rsidR="00916675" w:rsidRPr="00227C94" w:rsidRDefault="00916675" w:rsidP="00916675">
            <w:pPr>
              <w:pStyle w:val="tblHeaderText"/>
            </w:pPr>
            <w:r w:rsidRPr="00227C94">
              <w:t>Six months ended 30 June</w:t>
            </w:r>
          </w:p>
        </w:tc>
        <w:tc>
          <w:tcPr>
            <w:tcW w:w="113" w:type="dxa"/>
            <w:tcBorders>
              <w:top w:val="nil"/>
              <w:left w:val="nil"/>
              <w:bottom w:val="nil"/>
              <w:right w:val="nil"/>
            </w:tcBorders>
          </w:tcPr>
          <w:p w:rsidR="00916675" w:rsidRPr="00227C94" w:rsidRDefault="00916675" w:rsidP="00916675">
            <w:pPr>
              <w:pStyle w:val="tblHeaderText"/>
            </w:pPr>
          </w:p>
        </w:tc>
        <w:tc>
          <w:tcPr>
            <w:tcW w:w="1417" w:type="dxa"/>
            <w:tcBorders>
              <w:top w:val="nil"/>
              <w:left w:val="nil"/>
              <w:right w:val="nil"/>
            </w:tcBorders>
            <w:vAlign w:val="bottom"/>
          </w:tcPr>
          <w:p w:rsidR="002F1D5B" w:rsidRPr="00227C94" w:rsidRDefault="00916675" w:rsidP="00916675">
            <w:pPr>
              <w:pStyle w:val="tblHeaderText"/>
              <w:rPr>
                <w:lang w:val="en-US"/>
              </w:rPr>
            </w:pPr>
            <w:r w:rsidRPr="00227C94">
              <w:t xml:space="preserve">% </w:t>
            </w:r>
          </w:p>
          <w:p w:rsidR="00916675" w:rsidRPr="00227C94" w:rsidRDefault="00916675" w:rsidP="00916675">
            <w:pPr>
              <w:pStyle w:val="tblHeaderText"/>
            </w:pPr>
            <w:r w:rsidRPr="00227C94">
              <w:t>change</w:t>
            </w:r>
          </w:p>
        </w:tc>
        <w:tc>
          <w:tcPr>
            <w:tcW w:w="113" w:type="dxa"/>
            <w:tcBorders>
              <w:top w:val="nil"/>
              <w:left w:val="nil"/>
              <w:bottom w:val="nil"/>
              <w:right w:val="nil"/>
            </w:tcBorders>
            <w:vAlign w:val="bottom"/>
          </w:tcPr>
          <w:p w:rsidR="00916675" w:rsidRPr="00227C94" w:rsidRDefault="00916675" w:rsidP="00916675">
            <w:pPr>
              <w:pStyle w:val="tblHeaderText"/>
            </w:pPr>
          </w:p>
        </w:tc>
        <w:tc>
          <w:tcPr>
            <w:tcW w:w="1417" w:type="dxa"/>
            <w:tcBorders>
              <w:top w:val="nil"/>
              <w:left w:val="nil"/>
              <w:right w:val="nil"/>
            </w:tcBorders>
            <w:vAlign w:val="bottom"/>
          </w:tcPr>
          <w:p w:rsidR="00916675" w:rsidRPr="00227C94" w:rsidRDefault="00916675" w:rsidP="00916675">
            <w:pPr>
              <w:pStyle w:val="tblHeaderText"/>
            </w:pPr>
            <w:r w:rsidRPr="00227C94">
              <w:t xml:space="preserve">Year ended </w:t>
            </w:r>
            <w:r w:rsidRPr="00227C94">
              <w:rPr>
                <w:lang w:val="en-US"/>
              </w:rPr>
              <w:br/>
            </w:r>
            <w:r w:rsidRPr="00227C94">
              <w:t>31 December</w:t>
            </w:r>
          </w:p>
        </w:tc>
      </w:tr>
      <w:tr w:rsidR="00916675" w:rsidRPr="00227C94" w:rsidTr="00A701F4">
        <w:trPr>
          <w:cantSplit/>
        </w:trPr>
        <w:tc>
          <w:tcPr>
            <w:tcW w:w="3405" w:type="dxa"/>
            <w:tcBorders>
              <w:top w:val="nil"/>
              <w:left w:val="nil"/>
              <w:right w:val="nil"/>
            </w:tcBorders>
          </w:tcPr>
          <w:p w:rsidR="00916675" w:rsidRPr="00227C94" w:rsidRDefault="00916675" w:rsidP="00916675">
            <w:pPr>
              <w:pStyle w:val="tblHeaderText"/>
              <w:jc w:val="left"/>
            </w:pPr>
            <w:r w:rsidRPr="00227C94">
              <w:t>USD’000, unless specified otherwise</w:t>
            </w:r>
          </w:p>
        </w:tc>
        <w:tc>
          <w:tcPr>
            <w:tcW w:w="1417" w:type="dxa"/>
            <w:tcBorders>
              <w:top w:val="single" w:sz="6" w:space="0" w:color="auto"/>
              <w:left w:val="nil"/>
              <w:bottom w:val="single" w:sz="6" w:space="0" w:color="auto"/>
              <w:right w:val="nil"/>
            </w:tcBorders>
            <w:shd w:val="clear" w:color="auto" w:fill="auto"/>
          </w:tcPr>
          <w:p w:rsidR="00916675" w:rsidRPr="00227C94" w:rsidRDefault="00916675" w:rsidP="00297111">
            <w:pPr>
              <w:pStyle w:val="tblHeaderText"/>
            </w:pPr>
            <w:r w:rsidRPr="00227C94">
              <w:t>2012</w:t>
            </w:r>
          </w:p>
        </w:tc>
        <w:tc>
          <w:tcPr>
            <w:tcW w:w="113" w:type="dxa"/>
            <w:tcBorders>
              <w:top w:val="single" w:sz="6" w:space="0" w:color="auto"/>
              <w:left w:val="nil"/>
              <w:right w:val="nil"/>
            </w:tcBorders>
            <w:shd w:val="clear" w:color="auto" w:fill="auto"/>
          </w:tcPr>
          <w:p w:rsidR="00916675" w:rsidRPr="00227C94" w:rsidRDefault="00916675" w:rsidP="00297111">
            <w:pPr>
              <w:pStyle w:val="tblHeaderText"/>
            </w:pPr>
          </w:p>
        </w:tc>
        <w:tc>
          <w:tcPr>
            <w:tcW w:w="1417" w:type="dxa"/>
            <w:tcBorders>
              <w:top w:val="single" w:sz="6" w:space="0" w:color="auto"/>
              <w:left w:val="nil"/>
              <w:bottom w:val="single" w:sz="6" w:space="0" w:color="auto"/>
              <w:right w:val="nil"/>
            </w:tcBorders>
            <w:shd w:val="clear" w:color="auto" w:fill="auto"/>
          </w:tcPr>
          <w:p w:rsidR="00916675" w:rsidRPr="00227C94" w:rsidRDefault="00916675" w:rsidP="00297111">
            <w:pPr>
              <w:pStyle w:val="tblHeaderText"/>
            </w:pPr>
            <w:r w:rsidRPr="00227C94">
              <w:t>2011</w:t>
            </w:r>
          </w:p>
        </w:tc>
        <w:tc>
          <w:tcPr>
            <w:tcW w:w="113" w:type="dxa"/>
            <w:tcBorders>
              <w:top w:val="nil"/>
              <w:left w:val="nil"/>
              <w:right w:val="nil"/>
            </w:tcBorders>
          </w:tcPr>
          <w:p w:rsidR="00916675" w:rsidRPr="00227C94" w:rsidRDefault="00916675" w:rsidP="00297111">
            <w:pPr>
              <w:pStyle w:val="tblHeaderText"/>
            </w:pPr>
          </w:p>
        </w:tc>
        <w:tc>
          <w:tcPr>
            <w:tcW w:w="1417" w:type="dxa"/>
            <w:tcBorders>
              <w:top w:val="nil"/>
              <w:left w:val="nil"/>
              <w:bottom w:val="single" w:sz="6" w:space="0" w:color="auto"/>
              <w:right w:val="nil"/>
            </w:tcBorders>
            <w:shd w:val="clear" w:color="auto" w:fill="auto"/>
          </w:tcPr>
          <w:p w:rsidR="00916675" w:rsidRPr="00227C94" w:rsidRDefault="00916675" w:rsidP="00297111">
            <w:pPr>
              <w:pStyle w:val="tblHeaderText"/>
            </w:pPr>
            <w:r w:rsidRPr="00227C94">
              <w:t>p-o-p</w:t>
            </w:r>
            <w:r w:rsidRPr="00227C94">
              <w:rPr>
                <w:vertAlign w:val="superscript"/>
              </w:rPr>
              <w:t>(1)</w:t>
            </w:r>
          </w:p>
        </w:tc>
        <w:tc>
          <w:tcPr>
            <w:tcW w:w="113" w:type="dxa"/>
            <w:tcBorders>
              <w:top w:val="nil"/>
              <w:left w:val="nil"/>
              <w:right w:val="nil"/>
            </w:tcBorders>
          </w:tcPr>
          <w:p w:rsidR="00916675" w:rsidRPr="00227C94" w:rsidRDefault="00916675" w:rsidP="00297111">
            <w:pPr>
              <w:pStyle w:val="tblHeaderText"/>
            </w:pPr>
          </w:p>
        </w:tc>
        <w:tc>
          <w:tcPr>
            <w:tcW w:w="1417" w:type="dxa"/>
            <w:tcBorders>
              <w:top w:val="nil"/>
              <w:left w:val="nil"/>
              <w:bottom w:val="single" w:sz="6" w:space="0" w:color="auto"/>
              <w:right w:val="nil"/>
            </w:tcBorders>
            <w:shd w:val="clear" w:color="auto" w:fill="auto"/>
          </w:tcPr>
          <w:p w:rsidR="00916675" w:rsidRPr="00227C94" w:rsidRDefault="00916675" w:rsidP="00297111">
            <w:pPr>
              <w:pStyle w:val="tblHeaderText"/>
            </w:pPr>
            <w:r w:rsidRPr="00227C94">
              <w:t>2011</w:t>
            </w:r>
          </w:p>
        </w:tc>
      </w:tr>
      <w:tr w:rsidR="00916675" w:rsidRPr="00227C94" w:rsidTr="00A701F4">
        <w:trPr>
          <w:cantSplit/>
        </w:trPr>
        <w:tc>
          <w:tcPr>
            <w:tcW w:w="3405" w:type="dxa"/>
            <w:tcBorders>
              <w:left w:val="nil"/>
              <w:bottom w:val="nil"/>
              <w:right w:val="nil"/>
            </w:tcBorders>
            <w:shd w:val="clear" w:color="auto" w:fill="auto"/>
          </w:tcPr>
          <w:p w:rsidR="00916675" w:rsidRPr="00227C94" w:rsidRDefault="00916675" w:rsidP="00916675">
            <w:pPr>
              <w:pStyle w:val="tblHeaderText"/>
              <w:jc w:val="left"/>
            </w:pPr>
          </w:p>
        </w:tc>
        <w:tc>
          <w:tcPr>
            <w:tcW w:w="1417" w:type="dxa"/>
            <w:tcBorders>
              <w:top w:val="single" w:sz="6" w:space="0" w:color="auto"/>
              <w:left w:val="nil"/>
              <w:bottom w:val="nil"/>
              <w:right w:val="nil"/>
            </w:tcBorders>
            <w:shd w:val="clear" w:color="auto" w:fill="auto"/>
          </w:tcPr>
          <w:p w:rsidR="00916675" w:rsidRPr="00227C94" w:rsidRDefault="00916675" w:rsidP="00916675">
            <w:pPr>
              <w:pStyle w:val="tblHeaderText"/>
            </w:pPr>
          </w:p>
        </w:tc>
        <w:tc>
          <w:tcPr>
            <w:tcW w:w="113" w:type="dxa"/>
            <w:tcBorders>
              <w:left w:val="nil"/>
              <w:bottom w:val="nil"/>
              <w:right w:val="nil"/>
            </w:tcBorders>
            <w:shd w:val="clear" w:color="auto" w:fill="auto"/>
          </w:tcPr>
          <w:p w:rsidR="00916675" w:rsidRPr="00227C94" w:rsidRDefault="00916675" w:rsidP="00916675">
            <w:pPr>
              <w:pStyle w:val="tblHeaderText"/>
            </w:pPr>
          </w:p>
        </w:tc>
        <w:tc>
          <w:tcPr>
            <w:tcW w:w="1417" w:type="dxa"/>
            <w:tcBorders>
              <w:top w:val="single" w:sz="6" w:space="0" w:color="auto"/>
              <w:left w:val="nil"/>
              <w:bottom w:val="nil"/>
              <w:right w:val="nil"/>
            </w:tcBorders>
            <w:shd w:val="clear" w:color="auto" w:fill="auto"/>
          </w:tcPr>
          <w:p w:rsidR="00916675" w:rsidRPr="00227C94" w:rsidRDefault="00916675" w:rsidP="00916675">
            <w:pPr>
              <w:pStyle w:val="tblHeaderText"/>
            </w:pPr>
          </w:p>
        </w:tc>
        <w:tc>
          <w:tcPr>
            <w:tcW w:w="113" w:type="dxa"/>
            <w:tcBorders>
              <w:left w:val="nil"/>
              <w:bottom w:val="nil"/>
              <w:right w:val="nil"/>
            </w:tcBorders>
            <w:shd w:val="clear" w:color="auto" w:fill="auto"/>
          </w:tcPr>
          <w:p w:rsidR="00916675" w:rsidRPr="00227C94" w:rsidRDefault="00916675" w:rsidP="00916675">
            <w:pPr>
              <w:pStyle w:val="tblHeaderText"/>
            </w:pPr>
          </w:p>
        </w:tc>
        <w:tc>
          <w:tcPr>
            <w:tcW w:w="1417" w:type="dxa"/>
            <w:tcBorders>
              <w:top w:val="single" w:sz="6" w:space="0" w:color="auto"/>
              <w:left w:val="nil"/>
              <w:bottom w:val="nil"/>
              <w:right w:val="nil"/>
            </w:tcBorders>
            <w:shd w:val="clear" w:color="auto" w:fill="auto"/>
          </w:tcPr>
          <w:p w:rsidR="00916675" w:rsidRPr="00227C94" w:rsidRDefault="00916675" w:rsidP="00916675">
            <w:pPr>
              <w:pStyle w:val="tblHeaderText"/>
            </w:pPr>
          </w:p>
        </w:tc>
        <w:tc>
          <w:tcPr>
            <w:tcW w:w="113" w:type="dxa"/>
            <w:tcBorders>
              <w:left w:val="nil"/>
              <w:bottom w:val="nil"/>
              <w:right w:val="nil"/>
            </w:tcBorders>
            <w:shd w:val="clear" w:color="auto" w:fill="auto"/>
          </w:tcPr>
          <w:p w:rsidR="00916675" w:rsidRPr="00227C94" w:rsidRDefault="00916675" w:rsidP="00916675">
            <w:pPr>
              <w:pStyle w:val="tblHeaderText"/>
            </w:pPr>
          </w:p>
        </w:tc>
        <w:tc>
          <w:tcPr>
            <w:tcW w:w="1417" w:type="dxa"/>
            <w:tcBorders>
              <w:top w:val="single" w:sz="6" w:space="0" w:color="auto"/>
              <w:left w:val="nil"/>
              <w:bottom w:val="nil"/>
              <w:right w:val="nil"/>
            </w:tcBorders>
            <w:shd w:val="clear" w:color="auto" w:fill="auto"/>
          </w:tcPr>
          <w:p w:rsidR="00916675" w:rsidRPr="00227C94" w:rsidRDefault="00916675" w:rsidP="00916675">
            <w:pPr>
              <w:pStyle w:val="tblHeaderText"/>
            </w:pPr>
          </w:p>
        </w:tc>
      </w:tr>
      <w:tr w:rsidR="00916675" w:rsidRPr="00227C94" w:rsidTr="00916675">
        <w:trPr>
          <w:cantSplit/>
        </w:trPr>
        <w:tc>
          <w:tcPr>
            <w:tcW w:w="3405" w:type="dxa"/>
            <w:tcBorders>
              <w:top w:val="nil"/>
              <w:left w:val="nil"/>
              <w:bottom w:val="nil"/>
              <w:right w:val="nil"/>
            </w:tcBorders>
          </w:tcPr>
          <w:p w:rsidR="00916675" w:rsidRPr="00227C94" w:rsidRDefault="00916675" w:rsidP="00916675">
            <w:pPr>
              <w:pStyle w:val="tblText02"/>
            </w:pPr>
            <w:r w:rsidRPr="00227C94">
              <w:t>Revenues from gold sales</w:t>
            </w:r>
          </w:p>
        </w:tc>
        <w:tc>
          <w:tcPr>
            <w:tcW w:w="1417" w:type="dxa"/>
            <w:tcBorders>
              <w:top w:val="nil"/>
              <w:left w:val="nil"/>
              <w:bottom w:val="nil"/>
              <w:right w:val="nil"/>
            </w:tcBorders>
            <w:vAlign w:val="bottom"/>
          </w:tcPr>
          <w:p w:rsidR="00916675" w:rsidRPr="00227C94" w:rsidRDefault="00916675" w:rsidP="00916675">
            <w:pPr>
              <w:pStyle w:val="tblNumber01"/>
            </w:pPr>
            <w:r w:rsidRPr="00227C94">
              <w:t>1,223,866</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901,752</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36</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2,340,650</w:t>
            </w:r>
          </w:p>
        </w:tc>
      </w:tr>
      <w:tr w:rsidR="00916675" w:rsidRPr="00227C94" w:rsidTr="00916675">
        <w:trPr>
          <w:cantSplit/>
        </w:trPr>
        <w:tc>
          <w:tcPr>
            <w:tcW w:w="3405" w:type="dxa"/>
            <w:tcBorders>
              <w:top w:val="nil"/>
              <w:left w:val="nil"/>
              <w:bottom w:val="nil"/>
              <w:right w:val="nil"/>
            </w:tcBorders>
          </w:tcPr>
          <w:p w:rsidR="00916675" w:rsidRPr="00227C94" w:rsidRDefault="00916675" w:rsidP="00916675">
            <w:pPr>
              <w:pStyle w:val="tblText02"/>
            </w:pPr>
            <w:r w:rsidRPr="00227C94">
              <w:t>Operating profit</w:t>
            </w:r>
          </w:p>
        </w:tc>
        <w:tc>
          <w:tcPr>
            <w:tcW w:w="1417" w:type="dxa"/>
            <w:tcBorders>
              <w:top w:val="nil"/>
              <w:left w:val="nil"/>
              <w:bottom w:val="nil"/>
              <w:right w:val="nil"/>
            </w:tcBorders>
            <w:vAlign w:val="bottom"/>
          </w:tcPr>
          <w:p w:rsidR="00916675" w:rsidRPr="00227C94" w:rsidRDefault="00916675" w:rsidP="00916675">
            <w:pPr>
              <w:pStyle w:val="tblNumber01"/>
            </w:pPr>
            <w:r w:rsidRPr="00227C94">
              <w:t>534,293</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279,631</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91</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838,654</w:t>
            </w:r>
          </w:p>
        </w:tc>
      </w:tr>
      <w:tr w:rsidR="00916675" w:rsidRPr="00227C94" w:rsidTr="00916675">
        <w:trPr>
          <w:cantSplit/>
        </w:trPr>
        <w:tc>
          <w:tcPr>
            <w:tcW w:w="3405" w:type="dxa"/>
            <w:tcBorders>
              <w:top w:val="nil"/>
              <w:left w:val="nil"/>
              <w:bottom w:val="nil"/>
              <w:right w:val="nil"/>
            </w:tcBorders>
          </w:tcPr>
          <w:p w:rsidR="00916675" w:rsidRPr="00227C94" w:rsidRDefault="00916675" w:rsidP="00916675">
            <w:pPr>
              <w:pStyle w:val="tblText02"/>
            </w:pPr>
            <w:r w:rsidRPr="00227C94">
              <w:t>Operating profit margin</w:t>
            </w:r>
            <w:r w:rsidRPr="00227C94">
              <w:rPr>
                <w:b/>
                <w:vertAlign w:val="superscript"/>
              </w:rPr>
              <w:t>(</w:t>
            </w:r>
            <w:r w:rsidRPr="00227C94">
              <w:rPr>
                <w:vertAlign w:val="superscript"/>
              </w:rPr>
              <w:t>2</w:t>
            </w:r>
            <w:r w:rsidRPr="00227C94">
              <w:rPr>
                <w:b/>
                <w:vertAlign w:val="superscript"/>
              </w:rPr>
              <w:t>)</w:t>
            </w:r>
          </w:p>
        </w:tc>
        <w:tc>
          <w:tcPr>
            <w:tcW w:w="1417" w:type="dxa"/>
            <w:tcBorders>
              <w:top w:val="nil"/>
              <w:left w:val="nil"/>
              <w:bottom w:val="nil"/>
              <w:right w:val="nil"/>
            </w:tcBorders>
            <w:vAlign w:val="bottom"/>
          </w:tcPr>
          <w:p w:rsidR="00916675" w:rsidRPr="00227C94" w:rsidRDefault="00916675" w:rsidP="00916675">
            <w:pPr>
              <w:pStyle w:val="tblNumber01"/>
            </w:pPr>
            <w:r w:rsidRPr="00227C94">
              <w:t>43%</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30%</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Dash"/>
            </w:pPr>
            <w:r w:rsidRPr="00227C94">
              <w:t>-</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35%</w:t>
            </w:r>
          </w:p>
        </w:tc>
      </w:tr>
      <w:tr w:rsidR="00916675" w:rsidRPr="00227C94" w:rsidTr="00916675">
        <w:trPr>
          <w:cantSplit/>
        </w:trPr>
        <w:tc>
          <w:tcPr>
            <w:tcW w:w="3405" w:type="dxa"/>
            <w:tcBorders>
              <w:top w:val="nil"/>
              <w:left w:val="nil"/>
              <w:bottom w:val="nil"/>
              <w:right w:val="nil"/>
            </w:tcBorders>
          </w:tcPr>
          <w:p w:rsidR="00916675" w:rsidRPr="00227C94" w:rsidRDefault="00916675" w:rsidP="00916675">
            <w:pPr>
              <w:pStyle w:val="tblText02"/>
            </w:pPr>
            <w:r w:rsidRPr="00227C94">
              <w:t>Profit for the period</w:t>
            </w:r>
          </w:p>
        </w:tc>
        <w:tc>
          <w:tcPr>
            <w:tcW w:w="1417" w:type="dxa"/>
            <w:tcBorders>
              <w:top w:val="nil"/>
              <w:left w:val="nil"/>
              <w:bottom w:val="nil"/>
              <w:right w:val="nil"/>
            </w:tcBorders>
            <w:vAlign w:val="bottom"/>
          </w:tcPr>
          <w:p w:rsidR="00916675" w:rsidRPr="00227C94" w:rsidRDefault="00916675" w:rsidP="00916675">
            <w:pPr>
              <w:pStyle w:val="tblNumber01"/>
            </w:pPr>
            <w:r w:rsidRPr="00227C94">
              <w:t>425,896</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206,800</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106</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558,015</w:t>
            </w:r>
          </w:p>
        </w:tc>
      </w:tr>
      <w:tr w:rsidR="00916675" w:rsidRPr="00227C94" w:rsidTr="00916675">
        <w:trPr>
          <w:cantSplit/>
        </w:trPr>
        <w:tc>
          <w:tcPr>
            <w:tcW w:w="3405" w:type="dxa"/>
            <w:tcBorders>
              <w:top w:val="nil"/>
              <w:left w:val="nil"/>
              <w:bottom w:val="nil"/>
              <w:right w:val="nil"/>
            </w:tcBorders>
          </w:tcPr>
          <w:p w:rsidR="00916675" w:rsidRPr="00227C94" w:rsidRDefault="00916675" w:rsidP="00916675">
            <w:pPr>
              <w:pStyle w:val="tblText02"/>
              <w:rPr>
                <w:lang w:val="en-US"/>
              </w:rPr>
            </w:pPr>
            <w:r w:rsidRPr="00227C94">
              <w:rPr>
                <w:lang w:val="en-US"/>
              </w:rPr>
              <w:t>Earnings per share – basic and diluted (US Cents)</w:t>
            </w:r>
          </w:p>
        </w:tc>
        <w:tc>
          <w:tcPr>
            <w:tcW w:w="1417" w:type="dxa"/>
            <w:tcBorders>
              <w:top w:val="nil"/>
              <w:left w:val="nil"/>
              <w:bottom w:val="nil"/>
              <w:right w:val="nil"/>
            </w:tcBorders>
            <w:vAlign w:val="bottom"/>
          </w:tcPr>
          <w:p w:rsidR="00916675" w:rsidRPr="00227C94" w:rsidRDefault="00916675" w:rsidP="00916675">
            <w:pPr>
              <w:pStyle w:val="tblNumber01"/>
            </w:pPr>
            <w:r w:rsidRPr="00227C94">
              <w:t>14</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6</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133</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16</w:t>
            </w:r>
          </w:p>
        </w:tc>
      </w:tr>
      <w:tr w:rsidR="00916675" w:rsidRPr="00227C94" w:rsidTr="00916675">
        <w:trPr>
          <w:cantSplit/>
        </w:trPr>
        <w:tc>
          <w:tcPr>
            <w:tcW w:w="3405" w:type="dxa"/>
            <w:tcBorders>
              <w:top w:val="nil"/>
              <w:left w:val="nil"/>
              <w:bottom w:val="nil"/>
              <w:right w:val="nil"/>
            </w:tcBorders>
          </w:tcPr>
          <w:p w:rsidR="00916675" w:rsidRPr="00227C94" w:rsidRDefault="00916675" w:rsidP="00916675">
            <w:pPr>
              <w:pStyle w:val="tblText02"/>
              <w:rPr>
                <w:lang w:val="en-US"/>
              </w:rPr>
            </w:pPr>
            <w:r w:rsidRPr="00227C94">
              <w:rPr>
                <w:lang w:val="en-US"/>
              </w:rPr>
              <w:t>Weighted average number of ordinary shares (‘000s)</w:t>
            </w:r>
            <w:r w:rsidRPr="00227C94">
              <w:rPr>
                <w:b/>
                <w:vertAlign w:val="superscript"/>
                <w:lang w:val="en-US"/>
              </w:rPr>
              <w:t xml:space="preserve"> (2)</w:t>
            </w:r>
          </w:p>
        </w:tc>
        <w:tc>
          <w:tcPr>
            <w:tcW w:w="1417" w:type="dxa"/>
            <w:tcBorders>
              <w:top w:val="nil"/>
              <w:left w:val="nil"/>
              <w:bottom w:val="nil"/>
              <w:right w:val="nil"/>
            </w:tcBorders>
            <w:vAlign w:val="bottom"/>
          </w:tcPr>
          <w:p w:rsidR="00916675" w:rsidRPr="00227C94" w:rsidRDefault="00916675" w:rsidP="00916675">
            <w:pPr>
              <w:pStyle w:val="tblNumber01"/>
            </w:pPr>
            <w:r w:rsidRPr="00227C94">
              <w:t>2,868,789</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3,082,656</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0"/>
            </w:pPr>
            <w:r w:rsidRPr="00227C94">
              <w:t>(7)</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2,960,311</w:t>
            </w:r>
          </w:p>
        </w:tc>
      </w:tr>
      <w:tr w:rsidR="00916675" w:rsidRPr="00227C94" w:rsidTr="00916675">
        <w:trPr>
          <w:cantSplit/>
        </w:trPr>
        <w:tc>
          <w:tcPr>
            <w:tcW w:w="3405" w:type="dxa"/>
            <w:tcBorders>
              <w:top w:val="nil"/>
              <w:left w:val="nil"/>
              <w:bottom w:val="nil"/>
              <w:right w:val="nil"/>
            </w:tcBorders>
          </w:tcPr>
          <w:p w:rsidR="00916675" w:rsidRPr="00227C94" w:rsidRDefault="00916675" w:rsidP="00916675">
            <w:pPr>
              <w:pStyle w:val="tblText02"/>
            </w:pPr>
            <w:r w:rsidRPr="00227C94">
              <w:t>Capital expenditures</w:t>
            </w:r>
          </w:p>
        </w:tc>
        <w:tc>
          <w:tcPr>
            <w:tcW w:w="1417" w:type="dxa"/>
            <w:tcBorders>
              <w:top w:val="nil"/>
              <w:left w:val="nil"/>
              <w:bottom w:val="nil"/>
              <w:right w:val="nil"/>
            </w:tcBorders>
            <w:vAlign w:val="bottom"/>
          </w:tcPr>
          <w:p w:rsidR="00916675" w:rsidRPr="00227C94" w:rsidRDefault="00916675" w:rsidP="00916675">
            <w:pPr>
              <w:pStyle w:val="tblNumber01"/>
            </w:pPr>
            <w:r w:rsidRPr="00227C94">
              <w:t>330,242</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181,130</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82</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327,843</w:t>
            </w:r>
          </w:p>
        </w:tc>
      </w:tr>
      <w:tr w:rsidR="00916675" w:rsidRPr="00227C94" w:rsidTr="00916675">
        <w:trPr>
          <w:cantSplit/>
        </w:trPr>
        <w:tc>
          <w:tcPr>
            <w:tcW w:w="3405" w:type="dxa"/>
            <w:tcBorders>
              <w:top w:val="nil"/>
              <w:left w:val="nil"/>
              <w:bottom w:val="nil"/>
              <w:right w:val="nil"/>
            </w:tcBorders>
          </w:tcPr>
          <w:p w:rsidR="00916675" w:rsidRPr="00227C94" w:rsidRDefault="00916675" w:rsidP="00916675">
            <w:pPr>
              <w:pStyle w:val="tblText02"/>
            </w:pPr>
            <w:r w:rsidRPr="00227C94">
              <w:t>Gold production (‘000oz)</w:t>
            </w:r>
          </w:p>
        </w:tc>
        <w:tc>
          <w:tcPr>
            <w:tcW w:w="1417" w:type="dxa"/>
            <w:tcBorders>
              <w:top w:val="nil"/>
              <w:left w:val="nil"/>
              <w:bottom w:val="nil"/>
              <w:right w:val="nil"/>
            </w:tcBorders>
            <w:vAlign w:val="bottom"/>
          </w:tcPr>
          <w:p w:rsidR="00916675" w:rsidRPr="00227C94" w:rsidRDefault="00916675" w:rsidP="00916675">
            <w:pPr>
              <w:pStyle w:val="tblNumber01"/>
            </w:pPr>
            <w:r w:rsidRPr="00227C94">
              <w:t>721</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611</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18</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1,497</w:t>
            </w:r>
          </w:p>
        </w:tc>
      </w:tr>
      <w:tr w:rsidR="00916675" w:rsidRPr="00227C94" w:rsidTr="00916675">
        <w:trPr>
          <w:cantSplit/>
        </w:trPr>
        <w:tc>
          <w:tcPr>
            <w:tcW w:w="3405" w:type="dxa"/>
            <w:tcBorders>
              <w:top w:val="nil"/>
              <w:left w:val="nil"/>
              <w:bottom w:val="nil"/>
              <w:right w:val="nil"/>
            </w:tcBorders>
          </w:tcPr>
          <w:p w:rsidR="00916675" w:rsidRPr="00227C94" w:rsidRDefault="00916675" w:rsidP="00916675">
            <w:pPr>
              <w:pStyle w:val="tblText02"/>
            </w:pPr>
            <w:r w:rsidRPr="00227C94">
              <w:t>Gold sold (‘000oz)</w:t>
            </w:r>
          </w:p>
        </w:tc>
        <w:tc>
          <w:tcPr>
            <w:tcW w:w="1417" w:type="dxa"/>
            <w:tcBorders>
              <w:top w:val="nil"/>
              <w:left w:val="nil"/>
              <w:bottom w:val="nil"/>
              <w:right w:val="nil"/>
            </w:tcBorders>
            <w:vAlign w:val="bottom"/>
          </w:tcPr>
          <w:p w:rsidR="00916675" w:rsidRPr="00227C94" w:rsidRDefault="00916675" w:rsidP="00916675">
            <w:pPr>
              <w:pStyle w:val="tblNumber01"/>
            </w:pPr>
            <w:r w:rsidRPr="00227C94">
              <w:t>742</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629</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18</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1,483</w:t>
            </w:r>
          </w:p>
        </w:tc>
      </w:tr>
      <w:tr w:rsidR="00916675" w:rsidRPr="00227C94" w:rsidTr="00916675">
        <w:trPr>
          <w:cantSplit/>
        </w:trPr>
        <w:tc>
          <w:tcPr>
            <w:tcW w:w="3405" w:type="dxa"/>
            <w:tcBorders>
              <w:top w:val="nil"/>
              <w:left w:val="nil"/>
              <w:bottom w:val="nil"/>
              <w:right w:val="nil"/>
            </w:tcBorders>
          </w:tcPr>
          <w:p w:rsidR="00916675" w:rsidRPr="00227C94" w:rsidRDefault="00916675" w:rsidP="00916675">
            <w:pPr>
              <w:pStyle w:val="tblText02"/>
              <w:rPr>
                <w:lang w:val="en-US"/>
              </w:rPr>
            </w:pPr>
            <w:r w:rsidRPr="00227C94">
              <w:rPr>
                <w:lang w:val="en-US"/>
              </w:rPr>
              <w:t>Average realised gold price (USD/oz)</w:t>
            </w:r>
          </w:p>
        </w:tc>
        <w:tc>
          <w:tcPr>
            <w:tcW w:w="1417" w:type="dxa"/>
            <w:tcBorders>
              <w:top w:val="nil"/>
              <w:left w:val="nil"/>
              <w:bottom w:val="nil"/>
              <w:right w:val="nil"/>
            </w:tcBorders>
            <w:vAlign w:val="bottom"/>
          </w:tcPr>
          <w:p w:rsidR="00916675" w:rsidRPr="00227C94" w:rsidRDefault="00916675" w:rsidP="00916675">
            <w:pPr>
              <w:pStyle w:val="tblNumber01"/>
            </w:pPr>
            <w:r w:rsidRPr="00227C94">
              <w:t>1,649</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1,433</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15</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1,578</w:t>
            </w:r>
          </w:p>
        </w:tc>
      </w:tr>
      <w:tr w:rsidR="00916675" w:rsidRPr="00227C94" w:rsidTr="00916675">
        <w:trPr>
          <w:cantSplit/>
        </w:trPr>
        <w:tc>
          <w:tcPr>
            <w:tcW w:w="3405" w:type="dxa"/>
            <w:tcBorders>
              <w:top w:val="nil"/>
              <w:left w:val="nil"/>
              <w:bottom w:val="nil"/>
              <w:right w:val="nil"/>
            </w:tcBorders>
            <w:vAlign w:val="bottom"/>
          </w:tcPr>
          <w:p w:rsidR="00916675" w:rsidRPr="00227C94" w:rsidRDefault="00916675" w:rsidP="00916675">
            <w:pPr>
              <w:pStyle w:val="tblText02"/>
            </w:pPr>
            <w:r w:rsidRPr="00227C94">
              <w:t>Adjusted EBITDA</w:t>
            </w:r>
          </w:p>
        </w:tc>
        <w:tc>
          <w:tcPr>
            <w:tcW w:w="1417" w:type="dxa"/>
            <w:tcBorders>
              <w:top w:val="nil"/>
              <w:left w:val="nil"/>
              <w:bottom w:val="nil"/>
              <w:right w:val="nil"/>
            </w:tcBorders>
            <w:vAlign w:val="bottom"/>
          </w:tcPr>
          <w:p w:rsidR="00916675" w:rsidRPr="00227C94" w:rsidRDefault="00916675" w:rsidP="00916675">
            <w:pPr>
              <w:pStyle w:val="tblNumber01"/>
            </w:pPr>
            <w:r w:rsidRPr="00227C94">
              <w:t>634,275</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398,644</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59</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1,110,745</w:t>
            </w:r>
          </w:p>
        </w:tc>
      </w:tr>
      <w:tr w:rsidR="00916675" w:rsidRPr="00227C94" w:rsidTr="00916675">
        <w:trPr>
          <w:cantSplit/>
        </w:trPr>
        <w:tc>
          <w:tcPr>
            <w:tcW w:w="3405" w:type="dxa"/>
            <w:tcBorders>
              <w:top w:val="nil"/>
              <w:left w:val="nil"/>
              <w:bottom w:val="nil"/>
              <w:right w:val="nil"/>
            </w:tcBorders>
          </w:tcPr>
          <w:p w:rsidR="00916675" w:rsidRPr="00227C94" w:rsidRDefault="00916675" w:rsidP="00916675">
            <w:pPr>
              <w:pStyle w:val="tblText02"/>
            </w:pPr>
            <w:r w:rsidRPr="00227C94">
              <w:t>Adjusted EBITDA margin</w:t>
            </w:r>
            <w:r w:rsidRPr="00227C94">
              <w:rPr>
                <w:b/>
                <w:vertAlign w:val="superscript"/>
              </w:rPr>
              <w:t>(</w:t>
            </w:r>
            <w:r w:rsidRPr="00227C94">
              <w:rPr>
                <w:vertAlign w:val="superscript"/>
              </w:rPr>
              <w:t>3</w:t>
            </w:r>
            <w:r w:rsidRPr="00227C94">
              <w:rPr>
                <w:b/>
                <w:vertAlign w:val="superscript"/>
              </w:rPr>
              <w:t>) (</w:t>
            </w:r>
            <w:r w:rsidRPr="00227C94">
              <w:rPr>
                <w:vertAlign w:val="superscript"/>
              </w:rPr>
              <w:t>4</w:t>
            </w:r>
            <w:r w:rsidRPr="00227C94">
              <w:rPr>
                <w:b/>
                <w:vertAlign w:val="superscript"/>
              </w:rPr>
              <w:t>)</w:t>
            </w:r>
          </w:p>
        </w:tc>
        <w:tc>
          <w:tcPr>
            <w:tcW w:w="1417" w:type="dxa"/>
            <w:tcBorders>
              <w:top w:val="nil"/>
              <w:left w:val="nil"/>
              <w:bottom w:val="nil"/>
              <w:right w:val="nil"/>
            </w:tcBorders>
            <w:vAlign w:val="bottom"/>
          </w:tcPr>
          <w:p w:rsidR="00916675" w:rsidRPr="00227C94" w:rsidRDefault="00916675" w:rsidP="00916675">
            <w:pPr>
              <w:pStyle w:val="tblNumber01"/>
            </w:pPr>
            <w:r w:rsidRPr="00227C94">
              <w:t>51%</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43%</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Dash"/>
            </w:pPr>
            <w:r w:rsidRPr="00227C94">
              <w:t>-</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46%</w:t>
            </w:r>
          </w:p>
        </w:tc>
      </w:tr>
      <w:tr w:rsidR="00916675" w:rsidRPr="00227C94" w:rsidTr="00916675">
        <w:trPr>
          <w:cantSplit/>
        </w:trPr>
        <w:tc>
          <w:tcPr>
            <w:tcW w:w="3405" w:type="dxa"/>
            <w:tcBorders>
              <w:top w:val="nil"/>
              <w:left w:val="nil"/>
              <w:bottom w:val="nil"/>
              <w:right w:val="nil"/>
            </w:tcBorders>
          </w:tcPr>
          <w:p w:rsidR="00916675" w:rsidRPr="00227C94" w:rsidRDefault="00916675" w:rsidP="00916675">
            <w:pPr>
              <w:pStyle w:val="tblText02"/>
              <w:rPr>
                <w:lang w:val="en-US"/>
              </w:rPr>
            </w:pPr>
            <w:r w:rsidRPr="00227C94">
              <w:rPr>
                <w:lang w:val="en-US"/>
              </w:rPr>
              <w:t>Total cash cost per ounce sold (USD/oz)</w:t>
            </w:r>
          </w:p>
        </w:tc>
        <w:tc>
          <w:tcPr>
            <w:tcW w:w="1417" w:type="dxa"/>
            <w:tcBorders>
              <w:top w:val="nil"/>
              <w:left w:val="nil"/>
              <w:bottom w:val="nil"/>
              <w:right w:val="nil"/>
            </w:tcBorders>
            <w:vAlign w:val="bottom"/>
          </w:tcPr>
          <w:p w:rsidR="00916675" w:rsidRPr="00227C94" w:rsidRDefault="00916675" w:rsidP="00916675">
            <w:pPr>
              <w:pStyle w:val="tblNumber01"/>
            </w:pPr>
            <w:r w:rsidRPr="00227C94">
              <w:t>664</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616</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8</w:t>
            </w:r>
          </w:p>
        </w:tc>
        <w:tc>
          <w:tcPr>
            <w:tcW w:w="11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661</w:t>
            </w:r>
          </w:p>
        </w:tc>
      </w:tr>
    </w:tbl>
    <w:p w:rsidR="00916675" w:rsidRPr="00227C94" w:rsidRDefault="00916675" w:rsidP="00916675">
      <w:pPr>
        <w:pStyle w:val="34"/>
        <w:rPr>
          <w:lang w:val="en-US"/>
        </w:rPr>
      </w:pPr>
      <w:bookmarkStart w:id="12" w:name="_DV_M2"/>
      <w:bookmarkEnd w:id="12"/>
      <w:r w:rsidRPr="00227C94">
        <w:rPr>
          <w:lang w:val="en-US"/>
        </w:rPr>
        <w:t>_______________________________</w:t>
      </w:r>
    </w:p>
    <w:p w:rsidR="00916675" w:rsidRPr="00227C94" w:rsidRDefault="00916675" w:rsidP="00916675">
      <w:pPr>
        <w:pStyle w:val="a"/>
        <w:rPr>
          <w:sz w:val="18"/>
          <w:lang w:val="en-US"/>
        </w:rPr>
      </w:pPr>
      <w:r w:rsidRPr="00227C94">
        <w:rPr>
          <w:sz w:val="18"/>
          <w:lang w:val="en-US"/>
        </w:rPr>
        <w:t>P-o-p – period-on-period.</w:t>
      </w:r>
    </w:p>
    <w:p w:rsidR="00916675" w:rsidRPr="00227C94" w:rsidRDefault="00916675" w:rsidP="00916675">
      <w:pPr>
        <w:pStyle w:val="a"/>
        <w:rPr>
          <w:spacing w:val="-3"/>
          <w:sz w:val="18"/>
        </w:rPr>
      </w:pPr>
      <w:r w:rsidRPr="00227C94">
        <w:rPr>
          <w:spacing w:val="-3"/>
          <w:sz w:val="18"/>
          <w:lang w:val="en-US"/>
        </w:rPr>
        <w:t xml:space="preserve">The weighted average number of shares for the six months ended 30 June 2011 changed from 2,498,941 thousand to 3,082,656 thousand shares following the completion of the reverse takeover procedures. </w:t>
      </w:r>
      <w:r w:rsidRPr="00227C94">
        <w:rPr>
          <w:spacing w:val="-3"/>
          <w:sz w:val="18"/>
        </w:rPr>
        <w:t>EPS changed from 8 to 6 US Cents per share, correspondently</w:t>
      </w:r>
      <w:r w:rsidRPr="00227C94">
        <w:rPr>
          <w:spacing w:val="-3"/>
          <w:sz w:val="18"/>
          <w:lang w:val="en-US"/>
        </w:rPr>
        <w:t>.</w:t>
      </w:r>
    </w:p>
    <w:p w:rsidR="00916675" w:rsidRPr="00227C94" w:rsidRDefault="00916675" w:rsidP="00916675">
      <w:pPr>
        <w:pStyle w:val="a"/>
        <w:rPr>
          <w:sz w:val="18"/>
          <w:lang w:val="en-US"/>
        </w:rPr>
      </w:pPr>
      <w:r w:rsidRPr="00227C94">
        <w:rPr>
          <w:sz w:val="18"/>
          <w:lang w:val="en-US"/>
        </w:rPr>
        <w:t>Calculation may not be precise due to rounding.</w:t>
      </w:r>
    </w:p>
    <w:p w:rsidR="00916675" w:rsidRPr="00227C94" w:rsidRDefault="00916675" w:rsidP="00916675">
      <w:pPr>
        <w:pStyle w:val="a"/>
        <w:rPr>
          <w:sz w:val="18"/>
          <w:lang w:val="en-US"/>
        </w:rPr>
      </w:pPr>
      <w:r w:rsidRPr="00227C94">
        <w:rPr>
          <w:sz w:val="18"/>
          <w:lang w:val="en-US"/>
        </w:rPr>
        <w:t xml:space="preserve">For details of the calculation of Adjusted EBITDA refer to section 2.1 of the Interim </w:t>
      </w:r>
      <w:r w:rsidR="002F1D5B" w:rsidRPr="00227C94">
        <w:rPr>
          <w:sz w:val="18"/>
          <w:lang w:val="en-US"/>
        </w:rPr>
        <w:t>F</w:t>
      </w:r>
      <w:r w:rsidRPr="00227C94">
        <w:rPr>
          <w:sz w:val="18"/>
          <w:lang w:val="en-US"/>
        </w:rPr>
        <w:t xml:space="preserve">inancial </w:t>
      </w:r>
      <w:r w:rsidR="002F1D5B" w:rsidRPr="00227C94">
        <w:rPr>
          <w:sz w:val="18"/>
          <w:lang w:val="en-US"/>
        </w:rPr>
        <w:t>R</w:t>
      </w:r>
      <w:r w:rsidRPr="00227C94">
        <w:rPr>
          <w:sz w:val="18"/>
          <w:lang w:val="en-US"/>
        </w:rPr>
        <w:t>eport.</w:t>
      </w:r>
    </w:p>
    <w:p w:rsidR="00916675" w:rsidRPr="00227C94" w:rsidRDefault="00916675" w:rsidP="00916675">
      <w:pPr>
        <w:pStyle w:val="a4"/>
        <w:rPr>
          <w:lang w:val="en-US"/>
        </w:rPr>
      </w:pPr>
    </w:p>
    <w:p w:rsidR="00916675" w:rsidRPr="00227C94" w:rsidRDefault="00916675" w:rsidP="00916675">
      <w:pPr>
        <w:pStyle w:val="a4"/>
        <w:rPr>
          <w:b/>
        </w:rPr>
      </w:pPr>
      <w:bookmarkStart w:id="13" w:name="_DV_M17"/>
      <w:bookmarkStart w:id="14" w:name="_DV_M18"/>
      <w:bookmarkStart w:id="15" w:name="_DV_M19"/>
      <w:bookmarkStart w:id="16" w:name="_DV_M20"/>
      <w:bookmarkStart w:id="17" w:name="_DV_M22"/>
      <w:bookmarkStart w:id="18" w:name="_DV_M23"/>
      <w:bookmarkStart w:id="19" w:name="_DV_M24"/>
      <w:bookmarkStart w:id="20" w:name="_DV_M25"/>
      <w:bookmarkStart w:id="21" w:name="_DV_M26"/>
      <w:bookmarkStart w:id="22" w:name="_DV_M27"/>
      <w:bookmarkStart w:id="23" w:name="_DV_M28"/>
      <w:bookmarkStart w:id="24" w:name="_DV_M30"/>
      <w:bookmarkStart w:id="25" w:name="_DV_M33"/>
      <w:bookmarkStart w:id="26" w:name="_DV_M34"/>
      <w:bookmarkStart w:id="27" w:name="_DV_M36"/>
      <w:bookmarkStart w:id="28" w:name="_DV_M4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227C94">
        <w:rPr>
          <w:b/>
        </w:rPr>
        <w:t>Net debt position</w:t>
      </w:r>
    </w:p>
    <w:tbl>
      <w:tblPr>
        <w:tblW w:w="9412" w:type="dxa"/>
        <w:tblLayout w:type="fixed"/>
        <w:tblCellMar>
          <w:left w:w="0" w:type="dxa"/>
          <w:right w:w="0" w:type="dxa"/>
        </w:tblCellMar>
        <w:tblLook w:val="0000" w:firstRow="0" w:lastRow="0" w:firstColumn="0" w:lastColumn="0" w:noHBand="0" w:noVBand="0"/>
      </w:tblPr>
      <w:tblGrid>
        <w:gridCol w:w="6295"/>
        <w:gridCol w:w="1417"/>
        <w:gridCol w:w="283"/>
        <w:gridCol w:w="1417"/>
      </w:tblGrid>
      <w:tr w:rsidR="00916675" w:rsidRPr="00227C94" w:rsidTr="00A701F4">
        <w:trPr>
          <w:cantSplit/>
        </w:trPr>
        <w:tc>
          <w:tcPr>
            <w:tcW w:w="6295" w:type="dxa"/>
            <w:tcBorders>
              <w:top w:val="nil"/>
              <w:left w:val="nil"/>
              <w:bottom w:val="nil"/>
              <w:right w:val="nil"/>
            </w:tcBorders>
            <w:vAlign w:val="bottom"/>
          </w:tcPr>
          <w:p w:rsidR="00916675" w:rsidRPr="00227C94" w:rsidRDefault="00916675" w:rsidP="00916675">
            <w:pPr>
              <w:pStyle w:val="tblHeaderText"/>
              <w:jc w:val="left"/>
            </w:pPr>
            <w:r w:rsidRPr="00227C94">
              <w:t>USD’000</w:t>
            </w:r>
          </w:p>
        </w:tc>
        <w:tc>
          <w:tcPr>
            <w:tcW w:w="1417" w:type="dxa"/>
            <w:tcBorders>
              <w:top w:val="nil"/>
              <w:left w:val="nil"/>
              <w:bottom w:val="single" w:sz="6" w:space="0" w:color="auto"/>
              <w:right w:val="nil"/>
            </w:tcBorders>
            <w:shd w:val="clear" w:color="auto" w:fill="auto"/>
          </w:tcPr>
          <w:p w:rsidR="00916675" w:rsidRPr="00227C94" w:rsidRDefault="00916675" w:rsidP="00916675">
            <w:pPr>
              <w:pStyle w:val="tblHeaderText"/>
            </w:pPr>
            <w:r w:rsidRPr="00227C94">
              <w:t>As at</w:t>
            </w:r>
          </w:p>
          <w:p w:rsidR="00916675" w:rsidRPr="00227C94" w:rsidRDefault="00916675" w:rsidP="00916675">
            <w:pPr>
              <w:pStyle w:val="tblHeaderText"/>
            </w:pPr>
            <w:r w:rsidRPr="00227C94">
              <w:t>30 June</w:t>
            </w:r>
          </w:p>
          <w:p w:rsidR="00916675" w:rsidRPr="00227C94" w:rsidRDefault="00916675" w:rsidP="00916675">
            <w:pPr>
              <w:pStyle w:val="tblHeaderText"/>
            </w:pPr>
            <w:r w:rsidRPr="00227C94">
              <w:t>2012</w:t>
            </w:r>
          </w:p>
        </w:tc>
        <w:tc>
          <w:tcPr>
            <w:tcW w:w="283" w:type="dxa"/>
            <w:tcBorders>
              <w:top w:val="nil"/>
              <w:left w:val="nil"/>
              <w:bottom w:val="nil"/>
              <w:right w:val="nil"/>
            </w:tcBorders>
          </w:tcPr>
          <w:p w:rsidR="00916675" w:rsidRPr="00227C94" w:rsidRDefault="00916675" w:rsidP="00916675">
            <w:pPr>
              <w:pStyle w:val="tblHeaderText"/>
            </w:pPr>
          </w:p>
        </w:tc>
        <w:tc>
          <w:tcPr>
            <w:tcW w:w="1417" w:type="dxa"/>
            <w:tcBorders>
              <w:top w:val="nil"/>
              <w:left w:val="nil"/>
              <w:bottom w:val="single" w:sz="6" w:space="0" w:color="auto"/>
              <w:right w:val="nil"/>
            </w:tcBorders>
            <w:shd w:val="clear" w:color="auto" w:fill="auto"/>
          </w:tcPr>
          <w:p w:rsidR="00916675" w:rsidRPr="00227C94" w:rsidRDefault="00916675" w:rsidP="00916675">
            <w:pPr>
              <w:pStyle w:val="tblHeaderText"/>
            </w:pPr>
            <w:r w:rsidRPr="00227C94">
              <w:t>As at</w:t>
            </w:r>
          </w:p>
          <w:p w:rsidR="00916675" w:rsidRPr="00227C94" w:rsidRDefault="00916675" w:rsidP="00916675">
            <w:pPr>
              <w:pStyle w:val="tblHeaderText"/>
            </w:pPr>
            <w:r w:rsidRPr="00227C94">
              <w:t>31 December</w:t>
            </w:r>
          </w:p>
          <w:p w:rsidR="00916675" w:rsidRPr="00227C94" w:rsidRDefault="00916675" w:rsidP="00916675">
            <w:pPr>
              <w:pStyle w:val="tblHeaderText"/>
            </w:pPr>
            <w:r w:rsidRPr="00227C94">
              <w:t>2011</w:t>
            </w:r>
          </w:p>
        </w:tc>
      </w:tr>
      <w:tr w:rsidR="00916675" w:rsidRPr="00227C94" w:rsidTr="00A701F4">
        <w:trPr>
          <w:cantSplit/>
        </w:trPr>
        <w:tc>
          <w:tcPr>
            <w:tcW w:w="6295" w:type="dxa"/>
            <w:tcBorders>
              <w:top w:val="nil"/>
              <w:left w:val="nil"/>
              <w:bottom w:val="nil"/>
              <w:right w:val="nil"/>
            </w:tcBorders>
          </w:tcPr>
          <w:p w:rsidR="00916675" w:rsidRPr="00227C94" w:rsidRDefault="00916675" w:rsidP="00916675">
            <w:pPr>
              <w:pStyle w:val="tblHeaderText"/>
              <w:jc w:val="left"/>
            </w:pPr>
          </w:p>
        </w:tc>
        <w:tc>
          <w:tcPr>
            <w:tcW w:w="1417" w:type="dxa"/>
            <w:tcBorders>
              <w:top w:val="single" w:sz="6" w:space="0" w:color="auto"/>
              <w:left w:val="nil"/>
              <w:bottom w:val="nil"/>
              <w:right w:val="nil"/>
            </w:tcBorders>
            <w:shd w:val="clear" w:color="auto" w:fill="auto"/>
          </w:tcPr>
          <w:p w:rsidR="00916675" w:rsidRPr="00227C94" w:rsidRDefault="00916675" w:rsidP="00916675">
            <w:pPr>
              <w:pStyle w:val="tblHeaderText"/>
            </w:pPr>
          </w:p>
        </w:tc>
        <w:tc>
          <w:tcPr>
            <w:tcW w:w="283" w:type="dxa"/>
            <w:tcBorders>
              <w:top w:val="nil"/>
              <w:left w:val="nil"/>
              <w:bottom w:val="nil"/>
              <w:right w:val="nil"/>
            </w:tcBorders>
          </w:tcPr>
          <w:p w:rsidR="00916675" w:rsidRPr="00227C94" w:rsidRDefault="00916675" w:rsidP="00916675">
            <w:pPr>
              <w:pStyle w:val="tblHeaderText"/>
            </w:pPr>
          </w:p>
        </w:tc>
        <w:tc>
          <w:tcPr>
            <w:tcW w:w="1417" w:type="dxa"/>
            <w:tcBorders>
              <w:top w:val="single" w:sz="6" w:space="0" w:color="auto"/>
              <w:left w:val="nil"/>
              <w:bottom w:val="nil"/>
              <w:right w:val="nil"/>
            </w:tcBorders>
            <w:shd w:val="clear" w:color="auto" w:fill="auto"/>
          </w:tcPr>
          <w:p w:rsidR="00916675" w:rsidRPr="00227C94" w:rsidRDefault="00916675" w:rsidP="00916675">
            <w:pPr>
              <w:pStyle w:val="tblHeaderText"/>
            </w:pPr>
          </w:p>
        </w:tc>
      </w:tr>
      <w:tr w:rsidR="00916675" w:rsidRPr="00227C94" w:rsidTr="00916675">
        <w:trPr>
          <w:cantSplit/>
        </w:trPr>
        <w:tc>
          <w:tcPr>
            <w:tcW w:w="6295" w:type="dxa"/>
            <w:tcBorders>
              <w:top w:val="nil"/>
              <w:left w:val="nil"/>
              <w:bottom w:val="nil"/>
              <w:right w:val="nil"/>
            </w:tcBorders>
          </w:tcPr>
          <w:p w:rsidR="00916675" w:rsidRPr="00227C94" w:rsidRDefault="00916675" w:rsidP="00916675">
            <w:pPr>
              <w:pStyle w:val="tblText02"/>
              <w:rPr>
                <w:lang w:val="en-US"/>
              </w:rPr>
            </w:pPr>
            <w:r w:rsidRPr="00227C94">
              <w:rPr>
                <w:lang w:val="en-US"/>
              </w:rPr>
              <w:t>Net debt (cash and bank deposits)</w:t>
            </w:r>
          </w:p>
        </w:tc>
        <w:tc>
          <w:tcPr>
            <w:tcW w:w="1417" w:type="dxa"/>
            <w:tcBorders>
              <w:top w:val="nil"/>
              <w:left w:val="nil"/>
              <w:bottom w:val="nil"/>
              <w:right w:val="nil"/>
            </w:tcBorders>
            <w:vAlign w:val="bottom"/>
          </w:tcPr>
          <w:p w:rsidR="00916675" w:rsidRPr="00227C94" w:rsidRDefault="00916675" w:rsidP="00916675">
            <w:pPr>
              <w:pStyle w:val="tblNumber00"/>
            </w:pPr>
            <w:r w:rsidRPr="00227C94">
              <w:t>(531,949)</w:t>
            </w:r>
          </w:p>
        </w:tc>
        <w:tc>
          <w:tcPr>
            <w:tcW w:w="283" w:type="dxa"/>
            <w:tcBorders>
              <w:top w:val="nil"/>
              <w:left w:val="nil"/>
              <w:bottom w:val="nil"/>
              <w:right w:val="nil"/>
            </w:tcBorders>
            <w:vAlign w:val="bottom"/>
          </w:tcPr>
          <w:p w:rsidR="00916675" w:rsidRPr="00227C94" w:rsidRDefault="00916675" w:rsidP="00916675">
            <w:pPr>
              <w:pStyle w:val="tblNumber01"/>
            </w:pPr>
          </w:p>
        </w:tc>
        <w:tc>
          <w:tcPr>
            <w:tcW w:w="1417" w:type="dxa"/>
            <w:tcBorders>
              <w:top w:val="nil"/>
              <w:left w:val="nil"/>
              <w:bottom w:val="nil"/>
              <w:right w:val="nil"/>
            </w:tcBorders>
            <w:vAlign w:val="bottom"/>
          </w:tcPr>
          <w:p w:rsidR="00916675" w:rsidRPr="00227C94" w:rsidRDefault="00916675" w:rsidP="00916675">
            <w:pPr>
              <w:pStyle w:val="tblNumber01"/>
            </w:pPr>
            <w:r w:rsidRPr="00227C94">
              <w:t>101,881</w:t>
            </w:r>
          </w:p>
        </w:tc>
      </w:tr>
    </w:tbl>
    <w:p w:rsidR="00916675" w:rsidRPr="00227C94" w:rsidRDefault="00916675" w:rsidP="00916675">
      <w:pPr>
        <w:pStyle w:val="a4"/>
      </w:pPr>
    </w:p>
    <w:p w:rsidR="00916675" w:rsidRPr="00227C94" w:rsidRDefault="00916675" w:rsidP="00916675">
      <w:pPr>
        <w:pStyle w:val="a4"/>
      </w:pPr>
    </w:p>
    <w:p w:rsidR="00916675" w:rsidRPr="00227C94" w:rsidRDefault="00916675" w:rsidP="00916675">
      <w:pPr>
        <w:pStyle w:val="a4"/>
        <w:rPr>
          <w:b/>
          <w:lang w:val="en-US"/>
        </w:rPr>
      </w:pPr>
      <w:r w:rsidRPr="00227C94">
        <w:rPr>
          <w:b/>
        </w:rPr>
        <w:t>Operational highlights and development projects</w:t>
      </w:r>
    </w:p>
    <w:p w:rsidR="00916675" w:rsidRPr="00227C94" w:rsidRDefault="00916675" w:rsidP="00916675">
      <w:pPr>
        <w:pStyle w:val="a4"/>
      </w:pPr>
    </w:p>
    <w:p w:rsidR="00916675" w:rsidRPr="00227C94" w:rsidRDefault="00916675" w:rsidP="00916675">
      <w:pPr>
        <w:pStyle w:val="a4"/>
        <w:rPr>
          <w:lang w:val="en-US"/>
        </w:rPr>
      </w:pPr>
      <w:r w:rsidRPr="00227C94">
        <w:rPr>
          <w:lang w:val="en-US"/>
        </w:rPr>
        <w:t>Refined gold production up by 18% to 721 thousand ounces (H1 2011: 611 thousand ounces)</w:t>
      </w:r>
      <w:bookmarkStart w:id="29" w:name="_DV_M21"/>
      <w:bookmarkEnd w:id="29"/>
      <w:r w:rsidRPr="00227C94">
        <w:rPr>
          <w:lang w:val="en-US"/>
        </w:rPr>
        <w:t xml:space="preserve">, mainly as </w:t>
      </w:r>
      <w:r w:rsidRPr="00227C94">
        <w:rPr>
          <w:lang w:val="en-US"/>
        </w:rPr>
        <w:br/>
        <w:t>a result of:</w:t>
      </w:r>
    </w:p>
    <w:p w:rsidR="00916675" w:rsidRPr="00227C94" w:rsidRDefault="00916675" w:rsidP="00916675">
      <w:pPr>
        <w:pStyle w:val="a4"/>
        <w:rPr>
          <w:lang w:val="en-US"/>
        </w:rPr>
      </w:pPr>
    </w:p>
    <w:p w:rsidR="00916675" w:rsidRPr="00227C94" w:rsidRDefault="00916675" w:rsidP="00916675">
      <w:pPr>
        <w:pStyle w:val="a0"/>
        <w:rPr>
          <w:lang w:val="en-US"/>
        </w:rPr>
      </w:pPr>
      <w:r w:rsidRPr="00227C94">
        <w:rPr>
          <w:lang w:val="en-US"/>
        </w:rPr>
        <w:t>28% increase in gold output at Olimpiada due to continuous improvement in recovery rates;</w:t>
      </w:r>
    </w:p>
    <w:p w:rsidR="00916675" w:rsidRPr="00227C94" w:rsidRDefault="00916675" w:rsidP="00916675">
      <w:pPr>
        <w:pStyle w:val="a0"/>
        <w:rPr>
          <w:lang w:val="en-US"/>
        </w:rPr>
      </w:pPr>
      <w:r w:rsidRPr="00227C94">
        <w:rPr>
          <w:lang w:val="en-US"/>
        </w:rPr>
        <w:t>Significant increase in gold production at Blagodatnoye (+14%) and Kuranakh (+28%) on the back of sustained strong recovery rates and higher processing volumes; and</w:t>
      </w:r>
    </w:p>
    <w:p w:rsidR="00916675" w:rsidRPr="00227C94" w:rsidRDefault="00916675" w:rsidP="00916675">
      <w:pPr>
        <w:pStyle w:val="a0"/>
        <w:rPr>
          <w:lang w:val="en-US"/>
        </w:rPr>
      </w:pPr>
      <w:r w:rsidRPr="00227C94">
        <w:rPr>
          <w:lang w:val="en-US"/>
        </w:rPr>
        <w:t>The commissioning of the Verninskoye mine.</w:t>
      </w:r>
    </w:p>
    <w:p w:rsidR="00916675" w:rsidRPr="00227C94" w:rsidRDefault="00916675" w:rsidP="00916675">
      <w:pPr>
        <w:pStyle w:val="a4"/>
        <w:rPr>
          <w:lang w:val="en-US"/>
        </w:rPr>
      </w:pPr>
    </w:p>
    <w:p w:rsidR="00916675" w:rsidRPr="00227C94" w:rsidRDefault="00297111" w:rsidP="00916675">
      <w:pPr>
        <w:pStyle w:val="a4"/>
        <w:rPr>
          <w:lang w:val="en-US"/>
        </w:rPr>
      </w:pPr>
      <w:r w:rsidRPr="00227C94">
        <w:rPr>
          <w:lang w:val="en-US"/>
        </w:rPr>
        <w:br w:type="page"/>
      </w:r>
      <w:r w:rsidR="00916675" w:rsidRPr="00227C94">
        <w:rPr>
          <w:lang w:val="en-US"/>
        </w:rPr>
        <w:lastRenderedPageBreak/>
        <w:t>Capital expenditure increased 82% to USD330 million, with major investments into:</w:t>
      </w:r>
    </w:p>
    <w:p w:rsidR="00297111" w:rsidRPr="00227C94" w:rsidRDefault="00297111" w:rsidP="00916675">
      <w:pPr>
        <w:pStyle w:val="a4"/>
        <w:rPr>
          <w:lang w:val="en-US"/>
        </w:rPr>
      </w:pPr>
    </w:p>
    <w:p w:rsidR="00916675" w:rsidRPr="00227C94" w:rsidRDefault="00297111" w:rsidP="00297111">
      <w:pPr>
        <w:pStyle w:val="a0"/>
        <w:rPr>
          <w:lang w:val="en-US"/>
        </w:rPr>
      </w:pPr>
      <w:r w:rsidRPr="00227C94">
        <w:rPr>
          <w:lang w:val="en-US"/>
        </w:rPr>
        <w:t xml:space="preserve">Commissioning </w:t>
      </w:r>
      <w:r w:rsidR="00916675" w:rsidRPr="00227C94">
        <w:rPr>
          <w:lang w:val="en-US"/>
        </w:rPr>
        <w:t>of the full flow sheet at Verninskoye</w:t>
      </w:r>
      <w:r w:rsidRPr="00227C94">
        <w:rPr>
          <w:lang w:val="en-US"/>
        </w:rPr>
        <w:t>;</w:t>
      </w:r>
    </w:p>
    <w:p w:rsidR="00916675" w:rsidRPr="00227C94" w:rsidRDefault="00297111" w:rsidP="00297111">
      <w:pPr>
        <w:pStyle w:val="a0"/>
      </w:pPr>
      <w:r w:rsidRPr="00227C94">
        <w:t xml:space="preserve">Processing </w:t>
      </w:r>
      <w:r w:rsidR="00916675" w:rsidRPr="00227C94">
        <w:t xml:space="preserve">optimisation </w:t>
      </w:r>
      <w:r w:rsidRPr="00227C94">
        <w:t>at Olimpiada</w:t>
      </w:r>
      <w:r w:rsidRPr="00227C94">
        <w:rPr>
          <w:lang w:val="en-US"/>
        </w:rPr>
        <w:t>;</w:t>
      </w:r>
      <w:r w:rsidR="00916675" w:rsidRPr="00227C94">
        <w:t xml:space="preserve"> and</w:t>
      </w:r>
    </w:p>
    <w:p w:rsidR="00916675" w:rsidRPr="00227C94" w:rsidRDefault="00297111" w:rsidP="00297111">
      <w:pPr>
        <w:pStyle w:val="a0"/>
        <w:rPr>
          <w:lang w:val="en-US"/>
        </w:rPr>
      </w:pPr>
      <w:r w:rsidRPr="00227C94">
        <w:rPr>
          <w:lang w:val="en-US"/>
        </w:rPr>
        <w:t xml:space="preserve">Construction </w:t>
      </w:r>
      <w:r w:rsidR="00916675" w:rsidRPr="00227C94">
        <w:rPr>
          <w:lang w:val="en-US"/>
        </w:rPr>
        <w:t>of the Natalka mine.</w:t>
      </w:r>
    </w:p>
    <w:p w:rsidR="00297111" w:rsidRPr="00227C94" w:rsidRDefault="00297111" w:rsidP="00297111">
      <w:pPr>
        <w:pStyle w:val="a4"/>
        <w:rPr>
          <w:lang w:val="en-US"/>
        </w:rPr>
      </w:pPr>
    </w:p>
    <w:p w:rsidR="00916675" w:rsidRPr="00227C94" w:rsidRDefault="00916675" w:rsidP="00297111">
      <w:pPr>
        <w:pStyle w:val="a4"/>
        <w:rPr>
          <w:lang w:val="en-US"/>
        </w:rPr>
      </w:pPr>
      <w:r w:rsidRPr="00227C94">
        <w:rPr>
          <w:lang w:val="en-US"/>
        </w:rPr>
        <w:t>Construction at Natalka is well underway with the commissioning of a 10 million tonnes of ore per year processing plant expected in December 2013. The first mining equipment and machinery has started to arrive on site. On 30 July 2012 the Company entered into a finance agreement with VTB Bank for a total amount of up to 5 billion roubles (approximately USD150 million). The VTB facility will be used to support the purchase of equipment for the Natalka project.</w:t>
      </w:r>
    </w:p>
    <w:p w:rsidR="00916675" w:rsidRPr="00227C94" w:rsidRDefault="00916675" w:rsidP="00297111">
      <w:pPr>
        <w:pStyle w:val="a4"/>
        <w:rPr>
          <w:lang w:val="en-US"/>
        </w:rPr>
      </w:pPr>
    </w:p>
    <w:p w:rsidR="00916675" w:rsidRPr="00227C94" w:rsidRDefault="00916675" w:rsidP="00297111">
      <w:pPr>
        <w:pStyle w:val="a4"/>
        <w:rPr>
          <w:b/>
          <w:lang w:val="en-US"/>
        </w:rPr>
      </w:pPr>
      <w:r w:rsidRPr="00227C94">
        <w:rPr>
          <w:b/>
        </w:rPr>
        <w:t>Corporate update</w:t>
      </w:r>
    </w:p>
    <w:p w:rsidR="00297111" w:rsidRPr="00227C94" w:rsidRDefault="00297111" w:rsidP="00297111">
      <w:pPr>
        <w:pStyle w:val="a4"/>
        <w:rPr>
          <w:b/>
          <w:lang w:val="en-US"/>
        </w:rPr>
      </w:pPr>
    </w:p>
    <w:p w:rsidR="00916675" w:rsidRPr="00227C94" w:rsidRDefault="00916675" w:rsidP="00297111">
      <w:pPr>
        <w:pStyle w:val="a0"/>
        <w:rPr>
          <w:lang w:val="en-US"/>
        </w:rPr>
      </w:pPr>
      <w:r w:rsidRPr="00227C94">
        <w:rPr>
          <w:spacing w:val="-3"/>
          <w:lang w:val="en-US"/>
        </w:rPr>
        <w:t xml:space="preserve">On 11 May 2012 Polyus Gold International Limited completed the sale of 151,607,496 treasury shares, </w:t>
      </w:r>
      <w:r w:rsidRPr="00227C94">
        <w:rPr>
          <w:lang w:val="en-US"/>
        </w:rPr>
        <w:t>representing 5</w:t>
      </w:r>
      <w:r w:rsidR="00297111" w:rsidRPr="00227C94">
        <w:rPr>
          <w:lang w:val="en-US"/>
        </w:rPr>
        <w:t>% less one share of the Company’</w:t>
      </w:r>
      <w:r w:rsidRPr="00227C94">
        <w:rPr>
          <w:lang w:val="en-US"/>
        </w:rPr>
        <w:t>s issued share capital, to Chengdong Investment Corporation, a wholly-owned subsidiary of CIC International Co. Ltd., and of 50,198,271 treasury shares and 25,153,897 Level I GDRs, representing 2.50% of the Company's issued share capital, to JSC VTB Bank. The gross proceeds received from the two transactions totalled USD635.5 million.</w:t>
      </w:r>
    </w:p>
    <w:p w:rsidR="00916675" w:rsidRPr="00227C94" w:rsidRDefault="00916675" w:rsidP="00297111">
      <w:pPr>
        <w:pStyle w:val="a0"/>
        <w:rPr>
          <w:lang w:val="en-US"/>
        </w:rPr>
      </w:pPr>
      <w:r w:rsidRPr="00227C94">
        <w:rPr>
          <w:lang w:val="en-US"/>
        </w:rPr>
        <w:t>On 21 May 2012 Polyus Gold International Limited sold its 100% interest in Romaltyn Limited and Romaltyn Exploration for a total consideration of USD20 million.</w:t>
      </w:r>
    </w:p>
    <w:p w:rsidR="00916675" w:rsidRPr="00227C94" w:rsidRDefault="00916675" w:rsidP="00297111">
      <w:pPr>
        <w:pStyle w:val="a0"/>
        <w:rPr>
          <w:spacing w:val="-2"/>
          <w:lang w:val="en-US"/>
        </w:rPr>
      </w:pPr>
      <w:r w:rsidRPr="00227C94">
        <w:rPr>
          <w:spacing w:val="-2"/>
          <w:lang w:val="en-US"/>
        </w:rPr>
        <w:t>On 19 June 2012 Polyus Gold International Limited’s entire issued ordinary share capital was admitted to the Premium segment of the Official List maintained by the UK Listing Authority and to trading on the London Stock Exchange’s main market for listed securities. The Company</w:t>
      </w:r>
      <w:r w:rsidR="00297111" w:rsidRPr="00227C94">
        <w:rPr>
          <w:spacing w:val="-2"/>
          <w:lang w:val="en-US"/>
        </w:rPr>
        <w:t>’</w:t>
      </w:r>
      <w:r w:rsidRPr="00227C94">
        <w:rPr>
          <w:spacing w:val="-2"/>
          <w:lang w:val="en-US"/>
        </w:rPr>
        <w:t>s TIDM code on the London Stock Exchange has been changed to PGIL.</w:t>
      </w:r>
    </w:p>
    <w:p w:rsidR="00916675" w:rsidRPr="00227C94" w:rsidRDefault="00916675" w:rsidP="00297111">
      <w:pPr>
        <w:pStyle w:val="a4"/>
        <w:rPr>
          <w:lang w:val="en-US"/>
        </w:rPr>
      </w:pPr>
    </w:p>
    <w:p w:rsidR="00297111" w:rsidRPr="00227C94" w:rsidRDefault="00297111" w:rsidP="00297111">
      <w:pPr>
        <w:pStyle w:val="a4"/>
        <w:rPr>
          <w:lang w:val="en-US"/>
        </w:rPr>
      </w:pPr>
    </w:p>
    <w:p w:rsidR="00916675" w:rsidRPr="00227C94" w:rsidRDefault="007448AA" w:rsidP="00297111">
      <w:pPr>
        <w:pStyle w:val="Z2Opinion"/>
        <w:rPr>
          <w:lang w:val="en-GB"/>
        </w:rPr>
      </w:pPr>
      <w:r w:rsidRPr="00227C94">
        <w:rPr>
          <w:lang w:val="en-US"/>
        </w:rPr>
        <w:br w:type="page"/>
      </w:r>
      <w:r w:rsidR="00916675" w:rsidRPr="00227C94">
        <w:rPr>
          <w:lang w:val="en-GB"/>
        </w:rPr>
        <w:lastRenderedPageBreak/>
        <w:t>chief executive officer</w:t>
      </w:r>
      <w:r w:rsidR="002F1D5B" w:rsidRPr="00227C94">
        <w:rPr>
          <w:lang w:val="en-US"/>
        </w:rPr>
        <w:t>’S</w:t>
      </w:r>
      <w:r w:rsidR="00916675" w:rsidRPr="00227C94">
        <w:rPr>
          <w:lang w:val="en-GB"/>
        </w:rPr>
        <w:t xml:space="preserve"> statement</w:t>
      </w:r>
    </w:p>
    <w:p w:rsidR="00916675" w:rsidRPr="00227C94" w:rsidRDefault="00916675" w:rsidP="00297111">
      <w:pPr>
        <w:pStyle w:val="a4"/>
        <w:rPr>
          <w:lang w:val="en-GB"/>
        </w:rPr>
      </w:pPr>
    </w:p>
    <w:p w:rsidR="00916675" w:rsidRPr="00227C94" w:rsidRDefault="00916675" w:rsidP="00297111">
      <w:pPr>
        <w:pStyle w:val="a4"/>
        <w:rPr>
          <w:b/>
          <w:lang w:val="en-US"/>
        </w:rPr>
      </w:pPr>
      <w:r w:rsidRPr="00227C94">
        <w:rPr>
          <w:b/>
          <w:lang w:val="en-US"/>
        </w:rPr>
        <w:t>German Pikhoya, CEO of Polyus Gold International Limited, commented:</w:t>
      </w:r>
    </w:p>
    <w:p w:rsidR="00297111" w:rsidRPr="00227C94" w:rsidRDefault="00297111" w:rsidP="00297111">
      <w:pPr>
        <w:pStyle w:val="a4"/>
        <w:rPr>
          <w:b/>
          <w:lang w:val="en-US"/>
        </w:rPr>
      </w:pPr>
    </w:p>
    <w:p w:rsidR="00916675" w:rsidRPr="00227C94" w:rsidRDefault="00916675" w:rsidP="00297111">
      <w:pPr>
        <w:pStyle w:val="a4"/>
        <w:rPr>
          <w:lang w:val="en-US"/>
        </w:rPr>
      </w:pPr>
      <w:r w:rsidRPr="00227C94">
        <w:rPr>
          <w:lang w:val="en-US"/>
        </w:rPr>
        <w:t>“We are delighted to announce record profits</w:t>
      </w:r>
      <w:r w:rsidR="002F1D5B" w:rsidRPr="00227C94">
        <w:rPr>
          <w:lang w:val="en-US"/>
        </w:rPr>
        <w:t xml:space="preserve"> of USD426 million</w:t>
      </w:r>
      <w:r w:rsidRPr="00227C94">
        <w:rPr>
          <w:lang w:val="en-US"/>
        </w:rPr>
        <w:t xml:space="preserve"> in our first half yearly results since joining the Premium List of the London Stock Exchange.</w:t>
      </w:r>
    </w:p>
    <w:p w:rsidR="00297111" w:rsidRPr="00227C94" w:rsidRDefault="00297111" w:rsidP="00297111">
      <w:pPr>
        <w:pStyle w:val="a4"/>
        <w:rPr>
          <w:lang w:val="en-US"/>
        </w:rPr>
      </w:pPr>
    </w:p>
    <w:p w:rsidR="00916675" w:rsidRPr="00227C94" w:rsidRDefault="00916675" w:rsidP="00297111">
      <w:pPr>
        <w:pStyle w:val="a4"/>
        <w:rPr>
          <w:lang w:val="en-US"/>
        </w:rPr>
      </w:pPr>
      <w:r w:rsidRPr="00227C94">
        <w:rPr>
          <w:lang w:val="en-US"/>
        </w:rPr>
        <w:t>The growth reflects both the operational improvements at our mines and the strong market environment for gold. Importantly, while maintaining our sector-leading rate of production growth, we were also able to control cost pressures. As a result, we have seen further improvement in margins.</w:t>
      </w:r>
    </w:p>
    <w:p w:rsidR="00297111" w:rsidRPr="00227C94" w:rsidRDefault="00297111" w:rsidP="00297111">
      <w:pPr>
        <w:pStyle w:val="a4"/>
        <w:rPr>
          <w:lang w:val="en-US"/>
        </w:rPr>
      </w:pPr>
    </w:p>
    <w:p w:rsidR="00916675" w:rsidRPr="00227C94" w:rsidRDefault="00916675" w:rsidP="00297111">
      <w:pPr>
        <w:pStyle w:val="a4"/>
        <w:rPr>
          <w:lang w:val="en-US"/>
        </w:rPr>
      </w:pPr>
      <w:r w:rsidRPr="00227C94">
        <w:rPr>
          <w:lang w:val="en-US"/>
        </w:rPr>
        <w:t>Due to strong operating cash inflow and a successful placement of the treasury block of shares, our cash and cash equivalents reached USD848 million implying a significant net cash position compared to a net debt position six months earlier.</w:t>
      </w:r>
    </w:p>
    <w:p w:rsidR="00297111" w:rsidRPr="00227C94" w:rsidRDefault="00297111" w:rsidP="00297111">
      <w:pPr>
        <w:pStyle w:val="a4"/>
        <w:rPr>
          <w:lang w:val="en-US"/>
        </w:rPr>
      </w:pPr>
    </w:p>
    <w:p w:rsidR="00916675" w:rsidRPr="00227C94" w:rsidRDefault="00916675" w:rsidP="00297111">
      <w:pPr>
        <w:pStyle w:val="a4"/>
        <w:rPr>
          <w:lang w:val="en-US"/>
        </w:rPr>
      </w:pPr>
      <w:r w:rsidRPr="00227C94">
        <w:rPr>
          <w:lang w:val="en-US"/>
        </w:rPr>
        <w:t>In the second half of 2012, we will continue our focus on further improving performance across a range of our projects.”</w:t>
      </w:r>
    </w:p>
    <w:p w:rsidR="00916675" w:rsidRPr="00227C94" w:rsidRDefault="00916675" w:rsidP="00297111">
      <w:pPr>
        <w:pStyle w:val="a4"/>
        <w:rPr>
          <w:rFonts w:eastAsia="MS Mincho"/>
          <w:lang w:val="en-US"/>
        </w:rPr>
      </w:pPr>
    </w:p>
    <w:p w:rsidR="00916675" w:rsidRPr="00227C94" w:rsidRDefault="00916675" w:rsidP="00BE1794">
      <w:pPr>
        <w:pStyle w:val="ZX2Subhead"/>
        <w:rPr>
          <w:b w:val="0"/>
          <w:sz w:val="18"/>
          <w:szCs w:val="18"/>
          <w:lang w:val="en-US"/>
        </w:rPr>
      </w:pPr>
      <w:bookmarkStart w:id="30" w:name="_DV_M42"/>
      <w:bookmarkStart w:id="31" w:name="_DV_M46"/>
      <w:bookmarkEnd w:id="30"/>
      <w:bookmarkEnd w:id="31"/>
    </w:p>
    <w:p w:rsidR="00916675" w:rsidRPr="00227C94" w:rsidRDefault="00297111" w:rsidP="00297111">
      <w:pPr>
        <w:pStyle w:val="Z2Opinion"/>
        <w:rPr>
          <w:lang w:val="en-US"/>
        </w:rPr>
      </w:pPr>
      <w:r w:rsidRPr="00227C94">
        <w:rPr>
          <w:lang w:val="en-US"/>
        </w:rPr>
        <w:br w:type="page"/>
      </w:r>
      <w:r w:rsidR="00916675" w:rsidRPr="00227C94">
        <w:rPr>
          <w:lang w:val="en-US"/>
        </w:rPr>
        <w:lastRenderedPageBreak/>
        <w:t>Interim management report for the six months ended 30 June 2012</w:t>
      </w:r>
    </w:p>
    <w:p w:rsidR="00916675" w:rsidRPr="00227C94" w:rsidRDefault="00916675" w:rsidP="00297111">
      <w:pPr>
        <w:pStyle w:val="a4"/>
        <w:rPr>
          <w:lang w:val="en-US"/>
        </w:rPr>
      </w:pPr>
    </w:p>
    <w:p w:rsidR="00916675" w:rsidRPr="00227C94" w:rsidRDefault="00916675" w:rsidP="00297111">
      <w:pPr>
        <w:pStyle w:val="a4"/>
        <w:rPr>
          <w:lang w:val="en-US"/>
        </w:rPr>
      </w:pPr>
      <w:r w:rsidRPr="00227C94">
        <w:rPr>
          <w:lang w:val="en-US"/>
        </w:rPr>
        <w:t xml:space="preserve">The Group is an international gold mining company and the largest gold producer in Russia, according to </w:t>
      </w:r>
      <w:r w:rsidRPr="00227C94">
        <w:rPr>
          <w:spacing w:val="-2"/>
          <w:lang w:val="en-US"/>
        </w:rPr>
        <w:t xml:space="preserve">the Russian Union of Gold Miners. The Group develops and mines hardrock gold and alluvial gold deposits, with operations in the Krasnoyarsk, Irkutsk, Magadan and Republic of Sakha (Yakutia) regions of Russia and </w:t>
      </w:r>
      <w:r w:rsidRPr="00227C94">
        <w:rPr>
          <w:lang w:val="en-US"/>
        </w:rPr>
        <w:t xml:space="preserve">in the Republic of Kazakhstan. In 2011, the Group produced 1,495 thousand troy ounces of gold, and </w:t>
      </w:r>
      <w:r w:rsidR="00297111" w:rsidRPr="00227C94">
        <w:rPr>
          <w:lang w:val="en-US"/>
        </w:rPr>
        <w:br/>
      </w:r>
      <w:r w:rsidRPr="00227C94">
        <w:rPr>
          <w:lang w:val="en-US"/>
        </w:rPr>
        <w:t>721 thousand troy ounces of gold for the six months ended 30 June 2012.</w:t>
      </w:r>
    </w:p>
    <w:p w:rsidR="00297111" w:rsidRPr="00227C94" w:rsidRDefault="00297111" w:rsidP="00297111">
      <w:pPr>
        <w:pStyle w:val="a4"/>
        <w:rPr>
          <w:lang w:val="en-US"/>
        </w:rPr>
      </w:pPr>
    </w:p>
    <w:p w:rsidR="00916675" w:rsidRPr="00227C94" w:rsidRDefault="00916675" w:rsidP="00297111">
      <w:pPr>
        <w:pStyle w:val="a4"/>
        <w:rPr>
          <w:lang w:val="en-US"/>
        </w:rPr>
      </w:pPr>
      <w:bookmarkStart w:id="32" w:name="_DV_M43"/>
      <w:bookmarkEnd w:id="32"/>
      <w:r w:rsidRPr="00227C94">
        <w:rPr>
          <w:spacing w:val="-2"/>
          <w:lang w:val="en-US"/>
        </w:rPr>
        <w:t>The Group was formed as a result of the reorgani</w:t>
      </w:r>
      <w:r w:rsidR="005A0B85" w:rsidRPr="00227C94">
        <w:rPr>
          <w:spacing w:val="-2"/>
          <w:lang w:val="en-US"/>
        </w:rPr>
        <w:t>s</w:t>
      </w:r>
      <w:r w:rsidRPr="00227C94">
        <w:rPr>
          <w:spacing w:val="-2"/>
          <w:lang w:val="en-US"/>
        </w:rPr>
        <w:t xml:space="preserve">ation of the OJSC Polyus Gold Group (the “Polyus Russia </w:t>
      </w:r>
      <w:r w:rsidRPr="00227C94">
        <w:rPr>
          <w:spacing w:val="-4"/>
          <w:lang w:val="en-US"/>
        </w:rPr>
        <w:t xml:space="preserve">Group”) and its subsidiaries and KazakhGold Group Limited and its subsidiaries which resulted in KazakhGold Group Limited becoming the legal parent of OJSC Polyus Gold. Following the completion of the reorganization, KazakhGold Group Limited was renamed Polyus Gold International Limited (the “PGIL Group”). </w:t>
      </w:r>
      <w:bookmarkStart w:id="33" w:name="_DV_M45"/>
      <w:bookmarkEnd w:id="33"/>
      <w:r w:rsidRPr="00227C94">
        <w:rPr>
          <w:spacing w:val="-4"/>
          <w:lang w:val="en-US"/>
        </w:rPr>
        <w:t xml:space="preserve">As a result, </w:t>
      </w:r>
      <w:r w:rsidRPr="00227C94">
        <w:rPr>
          <w:lang w:val="en-US"/>
        </w:rPr>
        <w:t>references in this report to the “Group” are to the Polyus Russia Group, including the KazakhGold Group.</w:t>
      </w:r>
    </w:p>
    <w:p w:rsidR="00916675" w:rsidRPr="00227C94" w:rsidRDefault="00916675" w:rsidP="00297111">
      <w:pPr>
        <w:pStyle w:val="a4"/>
        <w:rPr>
          <w:lang w:val="en-US"/>
        </w:rPr>
      </w:pPr>
    </w:p>
    <w:p w:rsidR="00916675" w:rsidRPr="00227C94" w:rsidRDefault="00916675" w:rsidP="00297111">
      <w:pPr>
        <w:pStyle w:val="a4"/>
        <w:rPr>
          <w:b/>
          <w:lang w:val="en-US"/>
        </w:rPr>
      </w:pPr>
      <w:r w:rsidRPr="00227C94">
        <w:rPr>
          <w:b/>
          <w:lang w:val="en-US"/>
        </w:rPr>
        <w:t>Cautionary statement</w:t>
      </w:r>
    </w:p>
    <w:p w:rsidR="00297111" w:rsidRPr="00227C94" w:rsidRDefault="00297111" w:rsidP="00297111">
      <w:pPr>
        <w:pStyle w:val="a4"/>
        <w:rPr>
          <w:lang w:val="en-US"/>
        </w:rPr>
      </w:pPr>
    </w:p>
    <w:p w:rsidR="00916675" w:rsidRPr="00227C94" w:rsidRDefault="00916675" w:rsidP="00297111">
      <w:pPr>
        <w:pStyle w:val="a4"/>
        <w:rPr>
          <w:lang w:val="en-US"/>
        </w:rPr>
      </w:pPr>
      <w:r w:rsidRPr="00227C94">
        <w:rPr>
          <w:lang w:val="en-US"/>
        </w:rPr>
        <w:t>This Interim Management Report (IMR) has been prepared solely to provide additional information to shareholders to assess the Group’s strategies. The IMR should not be relied on by any other party or for any other purpose.</w:t>
      </w:r>
    </w:p>
    <w:p w:rsidR="00297111" w:rsidRPr="00227C94" w:rsidRDefault="00297111" w:rsidP="00297111">
      <w:pPr>
        <w:pStyle w:val="a4"/>
        <w:rPr>
          <w:lang w:val="en-US"/>
        </w:rPr>
      </w:pPr>
    </w:p>
    <w:p w:rsidR="00916675" w:rsidRPr="00227C94" w:rsidRDefault="00916675" w:rsidP="00244E4B">
      <w:pPr>
        <w:pStyle w:val="a4"/>
        <w:rPr>
          <w:lang w:val="en-US"/>
        </w:rPr>
      </w:pPr>
      <w:r w:rsidRPr="00227C94">
        <w:rPr>
          <w:lang w:val="en-US"/>
        </w:rPr>
        <w:t>The IMR contains certain forward-looking statements. These statements are made by the directors in good faith based on the information available to them up to the time of their approval of this report but such statements should be treated with caution due to the inherent uncertainties, including risk factors, underlying any such forward-looking statement. The IMR represents management’s opinion in relation to the Group’s operating and financial results</w:t>
      </w:r>
      <w:r w:rsidR="0080532B" w:rsidRPr="00227C94">
        <w:rPr>
          <w:lang w:val="en-US"/>
        </w:rPr>
        <w:t>.</w:t>
      </w:r>
      <w:bookmarkStart w:id="34" w:name="_DV_M47"/>
      <w:bookmarkStart w:id="35" w:name="_DV_M48"/>
      <w:bookmarkStart w:id="36" w:name="_DV_M49"/>
      <w:bookmarkStart w:id="37" w:name="_DV_M50"/>
      <w:bookmarkStart w:id="38" w:name="_DV_M51"/>
      <w:bookmarkEnd w:id="34"/>
      <w:bookmarkEnd w:id="35"/>
      <w:bookmarkEnd w:id="36"/>
      <w:bookmarkEnd w:id="37"/>
      <w:bookmarkEnd w:id="38"/>
    </w:p>
    <w:p w:rsidR="00916675" w:rsidRPr="00227C94" w:rsidRDefault="00916675" w:rsidP="00297111">
      <w:pPr>
        <w:pStyle w:val="a4"/>
        <w:rPr>
          <w:lang w:val="en-US"/>
        </w:rPr>
      </w:pPr>
    </w:p>
    <w:p w:rsidR="00916675" w:rsidRPr="00227C94" w:rsidRDefault="00297111" w:rsidP="00297111">
      <w:pPr>
        <w:pStyle w:val="1"/>
        <w:rPr>
          <w:lang w:val="en-US"/>
        </w:rPr>
      </w:pPr>
      <w:bookmarkStart w:id="39" w:name="_Toc304205598"/>
      <w:r w:rsidRPr="00227C94">
        <w:rPr>
          <w:lang w:val="en-US"/>
        </w:rPr>
        <w:br w:type="page"/>
      </w:r>
      <w:r w:rsidR="00916675" w:rsidRPr="00227C94">
        <w:lastRenderedPageBreak/>
        <w:t>THE GROUP’S OPERATING RESULTS</w:t>
      </w:r>
      <w:bookmarkStart w:id="40" w:name="_DV_M74"/>
      <w:bookmarkStart w:id="41" w:name="_Toc303889380"/>
      <w:bookmarkEnd w:id="39"/>
      <w:bookmarkEnd w:id="40"/>
      <w:bookmarkEnd w:id="41"/>
    </w:p>
    <w:p w:rsidR="00297111" w:rsidRPr="00227C94" w:rsidRDefault="00297111" w:rsidP="00297111">
      <w:pPr>
        <w:pStyle w:val="23"/>
        <w:rPr>
          <w:color w:val="auto"/>
          <w:lang w:val="en-US"/>
        </w:rPr>
      </w:pPr>
    </w:p>
    <w:p w:rsidR="00916675" w:rsidRPr="00227C94" w:rsidRDefault="00916675" w:rsidP="00297111">
      <w:pPr>
        <w:pStyle w:val="22"/>
        <w:rPr>
          <w:lang w:val="en-US"/>
        </w:rPr>
      </w:pPr>
      <w:bookmarkStart w:id="42" w:name="_DV_M75"/>
      <w:bookmarkStart w:id="43" w:name="_Toc303889381"/>
      <w:bookmarkStart w:id="44" w:name="_Toc304205599"/>
      <w:bookmarkEnd w:id="42"/>
      <w:r w:rsidRPr="00227C94">
        <w:rPr>
          <w:lang w:val="en-US"/>
        </w:rPr>
        <w:t>1.1 External market factors affecting the Group’s financial results</w:t>
      </w:r>
      <w:bookmarkEnd w:id="43"/>
      <w:bookmarkEnd w:id="44"/>
    </w:p>
    <w:p w:rsidR="00297111" w:rsidRPr="00227C94" w:rsidRDefault="00297111" w:rsidP="00297111">
      <w:pPr>
        <w:pStyle w:val="23"/>
        <w:rPr>
          <w:color w:val="auto"/>
          <w:lang w:val="en-US"/>
        </w:rPr>
      </w:pPr>
    </w:p>
    <w:p w:rsidR="00916675" w:rsidRPr="00227C94" w:rsidRDefault="00916675" w:rsidP="00297111">
      <w:pPr>
        <w:pStyle w:val="23"/>
        <w:rPr>
          <w:color w:val="auto"/>
          <w:lang w:val="en-US"/>
        </w:rPr>
      </w:pPr>
      <w:bookmarkStart w:id="45" w:name="_DV_M76"/>
      <w:bookmarkEnd w:id="45"/>
      <w:r w:rsidRPr="00227C94">
        <w:rPr>
          <w:color w:val="auto"/>
          <w:spacing w:val="-3"/>
          <w:lang w:val="en-US"/>
        </w:rPr>
        <w:t xml:space="preserve">The </w:t>
      </w:r>
      <w:r w:rsidR="002F1D5B" w:rsidRPr="00227C94">
        <w:rPr>
          <w:color w:val="auto"/>
          <w:spacing w:val="-3"/>
          <w:lang w:val="en-US"/>
        </w:rPr>
        <w:t xml:space="preserve">Group’s </w:t>
      </w:r>
      <w:r w:rsidRPr="00227C94">
        <w:rPr>
          <w:color w:val="auto"/>
          <w:spacing w:val="-3"/>
          <w:lang w:val="en-US"/>
        </w:rPr>
        <w:t xml:space="preserve">results are significantly affected by movements in currency exchange rates (principally </w:t>
      </w:r>
      <w:r w:rsidRPr="00227C94">
        <w:rPr>
          <w:color w:val="auto"/>
          <w:lang w:val="en-US"/>
        </w:rPr>
        <w:t xml:space="preserve">the </w:t>
      </w:r>
      <w:bookmarkStart w:id="46" w:name="_DV_C30"/>
      <w:r w:rsidRPr="00227C94">
        <w:rPr>
          <w:color w:val="auto"/>
          <w:lang w:val="en-US"/>
        </w:rPr>
        <w:t>US</w:t>
      </w:r>
      <w:bookmarkStart w:id="47" w:name="_DV_M77"/>
      <w:bookmarkEnd w:id="46"/>
      <w:bookmarkEnd w:id="47"/>
      <w:r w:rsidRPr="00227C94">
        <w:rPr>
          <w:color w:val="auto"/>
          <w:lang w:val="en-US"/>
        </w:rPr>
        <w:t xml:space="preserve"> dollar/rouble rate), and the prices of commodities such as gold, oil and steel.</w:t>
      </w:r>
    </w:p>
    <w:p w:rsidR="00297111" w:rsidRPr="00227C94" w:rsidRDefault="00297111" w:rsidP="00297111">
      <w:pPr>
        <w:pStyle w:val="23"/>
        <w:rPr>
          <w:color w:val="auto"/>
          <w:lang w:val="en-US"/>
        </w:rPr>
      </w:pPr>
    </w:p>
    <w:p w:rsidR="00916675" w:rsidRPr="00227C94" w:rsidRDefault="00916675" w:rsidP="00297111">
      <w:pPr>
        <w:pStyle w:val="23"/>
        <w:rPr>
          <w:color w:val="auto"/>
          <w:lang w:val="en-US"/>
        </w:rPr>
      </w:pPr>
      <w:bookmarkStart w:id="48" w:name="_DV_M78"/>
      <w:bookmarkEnd w:id="48"/>
      <w:r w:rsidRPr="00227C94">
        <w:rPr>
          <w:color w:val="auto"/>
          <w:lang w:val="en-US"/>
        </w:rPr>
        <w:t xml:space="preserve">Average rates for these main external market factors for the 6 months ended 30 June 2012 and </w:t>
      </w:r>
      <w:r w:rsidR="00297111" w:rsidRPr="00227C94">
        <w:rPr>
          <w:color w:val="auto"/>
          <w:lang w:val="en-US"/>
        </w:rPr>
        <w:br/>
      </w:r>
      <w:r w:rsidRPr="00227C94">
        <w:rPr>
          <w:color w:val="auto"/>
          <w:lang w:val="en-US"/>
        </w:rPr>
        <w:t>30 June 2011, and for the year ended 31 December 2011</w:t>
      </w:r>
      <w:r w:rsidRPr="00227C94">
        <w:rPr>
          <w:b/>
          <w:color w:val="auto"/>
          <w:lang w:val="en-US"/>
        </w:rPr>
        <w:t xml:space="preserve"> </w:t>
      </w:r>
      <w:r w:rsidRPr="00227C94">
        <w:rPr>
          <w:color w:val="auto"/>
          <w:lang w:val="en-US"/>
        </w:rPr>
        <w:t>were:</w:t>
      </w:r>
    </w:p>
    <w:p w:rsidR="00297111" w:rsidRPr="00227C94" w:rsidRDefault="00297111" w:rsidP="00297111">
      <w:pPr>
        <w:pStyle w:val="23"/>
        <w:rPr>
          <w:b/>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2928"/>
        <w:gridCol w:w="1417"/>
        <w:gridCol w:w="113"/>
        <w:gridCol w:w="1417"/>
        <w:gridCol w:w="113"/>
        <w:gridCol w:w="1417"/>
        <w:gridCol w:w="113"/>
        <w:gridCol w:w="1417"/>
      </w:tblGrid>
      <w:tr w:rsidR="00297111" w:rsidRPr="00227C94" w:rsidTr="00A701F4">
        <w:trPr>
          <w:cantSplit/>
        </w:trPr>
        <w:tc>
          <w:tcPr>
            <w:tcW w:w="2928" w:type="dxa"/>
            <w:tcBorders>
              <w:top w:val="nil"/>
              <w:left w:val="nil"/>
              <w:bottom w:val="nil"/>
              <w:right w:val="nil"/>
            </w:tcBorders>
            <w:vAlign w:val="bottom"/>
          </w:tcPr>
          <w:p w:rsidR="00297111" w:rsidRPr="00227C94" w:rsidRDefault="00297111" w:rsidP="00297111">
            <w:pPr>
              <w:pStyle w:val="tblHeaderText"/>
              <w:jc w:val="left"/>
              <w:rPr>
                <w:lang w:val="en-US"/>
              </w:rPr>
            </w:pPr>
          </w:p>
        </w:tc>
        <w:tc>
          <w:tcPr>
            <w:tcW w:w="2947" w:type="dxa"/>
            <w:gridSpan w:val="3"/>
            <w:tcBorders>
              <w:top w:val="nil"/>
              <w:left w:val="nil"/>
              <w:bottom w:val="single" w:sz="6" w:space="0" w:color="auto"/>
              <w:right w:val="nil"/>
            </w:tcBorders>
            <w:shd w:val="clear" w:color="auto" w:fill="auto"/>
            <w:vAlign w:val="bottom"/>
          </w:tcPr>
          <w:p w:rsidR="00297111" w:rsidRPr="00227C94" w:rsidRDefault="00297111" w:rsidP="00297111">
            <w:pPr>
              <w:pStyle w:val="tblHeaderText"/>
            </w:pPr>
            <w:r w:rsidRPr="00227C94">
              <w:t>Six months ended 30 June</w:t>
            </w:r>
          </w:p>
        </w:tc>
        <w:tc>
          <w:tcPr>
            <w:tcW w:w="113" w:type="dxa"/>
            <w:tcBorders>
              <w:top w:val="nil"/>
              <w:left w:val="nil"/>
              <w:bottom w:val="nil"/>
              <w:right w:val="nil"/>
            </w:tcBorders>
          </w:tcPr>
          <w:p w:rsidR="00297111" w:rsidRPr="00227C94" w:rsidRDefault="00297111" w:rsidP="00297111">
            <w:pPr>
              <w:pStyle w:val="tblHeaderText"/>
            </w:pPr>
          </w:p>
        </w:tc>
        <w:tc>
          <w:tcPr>
            <w:tcW w:w="1417" w:type="dxa"/>
            <w:tcBorders>
              <w:top w:val="nil"/>
              <w:left w:val="nil"/>
              <w:right w:val="nil"/>
            </w:tcBorders>
            <w:shd w:val="clear" w:color="auto" w:fill="auto"/>
            <w:vAlign w:val="bottom"/>
          </w:tcPr>
          <w:p w:rsidR="002F1D5B" w:rsidRPr="00227C94" w:rsidRDefault="00297111" w:rsidP="00297111">
            <w:pPr>
              <w:pStyle w:val="tblHeaderText"/>
              <w:rPr>
                <w:lang w:val="en-US"/>
              </w:rPr>
            </w:pPr>
            <w:r w:rsidRPr="00227C94">
              <w:t xml:space="preserve">% </w:t>
            </w:r>
          </w:p>
          <w:p w:rsidR="00297111" w:rsidRPr="00227C94" w:rsidRDefault="00297111" w:rsidP="00297111">
            <w:pPr>
              <w:pStyle w:val="tblHeaderText"/>
            </w:pPr>
            <w:r w:rsidRPr="00227C94">
              <w:t>change</w:t>
            </w:r>
          </w:p>
        </w:tc>
        <w:tc>
          <w:tcPr>
            <w:tcW w:w="113" w:type="dxa"/>
            <w:tcBorders>
              <w:top w:val="nil"/>
              <w:left w:val="nil"/>
              <w:right w:val="nil"/>
            </w:tcBorders>
            <w:vAlign w:val="bottom"/>
          </w:tcPr>
          <w:p w:rsidR="00297111" w:rsidRPr="00227C94" w:rsidRDefault="00297111" w:rsidP="00297111">
            <w:pPr>
              <w:pStyle w:val="tblHeaderText"/>
            </w:pPr>
          </w:p>
        </w:tc>
        <w:tc>
          <w:tcPr>
            <w:tcW w:w="1417" w:type="dxa"/>
            <w:tcBorders>
              <w:top w:val="nil"/>
              <w:left w:val="nil"/>
              <w:right w:val="nil"/>
            </w:tcBorders>
            <w:shd w:val="clear" w:color="auto" w:fill="auto"/>
            <w:vAlign w:val="bottom"/>
          </w:tcPr>
          <w:p w:rsidR="00297111" w:rsidRPr="00227C94" w:rsidRDefault="00297111" w:rsidP="00297111">
            <w:pPr>
              <w:pStyle w:val="tblHeaderText"/>
            </w:pPr>
            <w:r w:rsidRPr="00227C94">
              <w:t>Year ended</w:t>
            </w:r>
          </w:p>
          <w:p w:rsidR="00297111" w:rsidRPr="00227C94" w:rsidRDefault="00297111" w:rsidP="00297111">
            <w:pPr>
              <w:pStyle w:val="tblHeaderText"/>
            </w:pPr>
            <w:r w:rsidRPr="00227C94">
              <w:t>31 December</w:t>
            </w:r>
          </w:p>
        </w:tc>
      </w:tr>
      <w:tr w:rsidR="00297111" w:rsidRPr="00227C94" w:rsidTr="00A701F4">
        <w:trPr>
          <w:cantSplit/>
        </w:trPr>
        <w:tc>
          <w:tcPr>
            <w:tcW w:w="2928" w:type="dxa"/>
            <w:tcBorders>
              <w:top w:val="nil"/>
              <w:left w:val="nil"/>
              <w:bottom w:val="nil"/>
              <w:right w:val="nil"/>
            </w:tcBorders>
            <w:vAlign w:val="bottom"/>
          </w:tcPr>
          <w:p w:rsidR="00297111" w:rsidRPr="00227C94" w:rsidRDefault="00297111" w:rsidP="00297111">
            <w:pPr>
              <w:pStyle w:val="tblHeaderText"/>
              <w:jc w:val="left"/>
            </w:pPr>
            <w:r w:rsidRPr="00227C94">
              <w:t>Average price/ rate</w:t>
            </w:r>
          </w:p>
        </w:tc>
        <w:tc>
          <w:tcPr>
            <w:tcW w:w="1417" w:type="dxa"/>
            <w:tcBorders>
              <w:top w:val="single" w:sz="6" w:space="0" w:color="auto"/>
              <w:left w:val="nil"/>
              <w:bottom w:val="single" w:sz="6" w:space="0" w:color="auto"/>
              <w:right w:val="nil"/>
            </w:tcBorders>
            <w:shd w:val="clear" w:color="auto" w:fill="auto"/>
            <w:vAlign w:val="bottom"/>
          </w:tcPr>
          <w:p w:rsidR="00297111" w:rsidRPr="00227C94" w:rsidRDefault="00297111" w:rsidP="00297111">
            <w:pPr>
              <w:pStyle w:val="tblHeaderText"/>
            </w:pPr>
            <w:r w:rsidRPr="00227C94">
              <w:t>2012</w:t>
            </w:r>
          </w:p>
        </w:tc>
        <w:tc>
          <w:tcPr>
            <w:tcW w:w="113" w:type="dxa"/>
            <w:tcBorders>
              <w:top w:val="single" w:sz="6" w:space="0" w:color="auto"/>
              <w:left w:val="nil"/>
              <w:bottom w:val="nil"/>
              <w:right w:val="nil"/>
            </w:tcBorders>
            <w:shd w:val="clear" w:color="auto" w:fill="auto"/>
          </w:tcPr>
          <w:p w:rsidR="00297111" w:rsidRPr="00227C94" w:rsidRDefault="00297111" w:rsidP="00297111">
            <w:pPr>
              <w:pStyle w:val="tblHeaderText"/>
            </w:pPr>
          </w:p>
        </w:tc>
        <w:tc>
          <w:tcPr>
            <w:tcW w:w="1417" w:type="dxa"/>
            <w:tcBorders>
              <w:top w:val="single" w:sz="6" w:space="0" w:color="auto"/>
              <w:left w:val="nil"/>
              <w:bottom w:val="single" w:sz="6" w:space="0" w:color="auto"/>
              <w:right w:val="nil"/>
            </w:tcBorders>
            <w:shd w:val="clear" w:color="auto" w:fill="auto"/>
            <w:vAlign w:val="bottom"/>
          </w:tcPr>
          <w:p w:rsidR="00297111" w:rsidRPr="00227C94" w:rsidRDefault="00297111" w:rsidP="00297111">
            <w:pPr>
              <w:pStyle w:val="tblHeaderText"/>
            </w:pPr>
            <w:r w:rsidRPr="00227C94">
              <w:t>2011</w:t>
            </w:r>
          </w:p>
        </w:tc>
        <w:tc>
          <w:tcPr>
            <w:tcW w:w="113" w:type="dxa"/>
            <w:tcBorders>
              <w:top w:val="nil"/>
              <w:left w:val="nil"/>
              <w:right w:val="nil"/>
            </w:tcBorders>
          </w:tcPr>
          <w:p w:rsidR="00297111" w:rsidRPr="00227C94" w:rsidRDefault="00297111" w:rsidP="00297111">
            <w:pPr>
              <w:pStyle w:val="tblHeaderText"/>
            </w:pPr>
          </w:p>
        </w:tc>
        <w:tc>
          <w:tcPr>
            <w:tcW w:w="1417" w:type="dxa"/>
            <w:tcBorders>
              <w:left w:val="nil"/>
              <w:bottom w:val="single" w:sz="6" w:space="0" w:color="auto"/>
              <w:right w:val="nil"/>
            </w:tcBorders>
            <w:shd w:val="clear" w:color="auto" w:fill="auto"/>
          </w:tcPr>
          <w:p w:rsidR="00297111" w:rsidRPr="00227C94" w:rsidRDefault="00297111" w:rsidP="00297111">
            <w:pPr>
              <w:pStyle w:val="tblHeaderText"/>
            </w:pPr>
            <w:r w:rsidRPr="00227C94">
              <w:t>p-o-p</w:t>
            </w:r>
          </w:p>
        </w:tc>
        <w:tc>
          <w:tcPr>
            <w:tcW w:w="113" w:type="dxa"/>
            <w:tcBorders>
              <w:left w:val="nil"/>
              <w:right w:val="nil"/>
            </w:tcBorders>
            <w:shd w:val="clear" w:color="auto" w:fill="auto"/>
          </w:tcPr>
          <w:p w:rsidR="00297111" w:rsidRPr="00227C94" w:rsidRDefault="00297111" w:rsidP="00297111">
            <w:pPr>
              <w:pStyle w:val="tblHeaderText"/>
            </w:pPr>
          </w:p>
        </w:tc>
        <w:tc>
          <w:tcPr>
            <w:tcW w:w="1417" w:type="dxa"/>
            <w:tcBorders>
              <w:left w:val="nil"/>
              <w:bottom w:val="single" w:sz="6" w:space="0" w:color="auto"/>
              <w:right w:val="nil"/>
            </w:tcBorders>
            <w:shd w:val="clear" w:color="auto" w:fill="auto"/>
          </w:tcPr>
          <w:p w:rsidR="00297111" w:rsidRPr="00227C94" w:rsidRDefault="00297111" w:rsidP="00297111">
            <w:pPr>
              <w:pStyle w:val="tblHeaderText"/>
            </w:pPr>
            <w:r w:rsidRPr="00227C94">
              <w:t>2011</w:t>
            </w:r>
          </w:p>
        </w:tc>
      </w:tr>
      <w:tr w:rsidR="00297111" w:rsidRPr="00227C94" w:rsidTr="00A701F4">
        <w:trPr>
          <w:cantSplit/>
        </w:trPr>
        <w:tc>
          <w:tcPr>
            <w:tcW w:w="2928" w:type="dxa"/>
            <w:tcBorders>
              <w:top w:val="nil"/>
              <w:left w:val="nil"/>
              <w:bottom w:val="nil"/>
              <w:right w:val="nil"/>
            </w:tcBorders>
            <w:vAlign w:val="bottom"/>
          </w:tcPr>
          <w:p w:rsidR="00297111" w:rsidRPr="00227C94" w:rsidRDefault="00297111" w:rsidP="00297111">
            <w:pPr>
              <w:pStyle w:val="tblHeaderText"/>
              <w:jc w:val="left"/>
            </w:pPr>
          </w:p>
        </w:tc>
        <w:tc>
          <w:tcPr>
            <w:tcW w:w="1417" w:type="dxa"/>
            <w:tcBorders>
              <w:top w:val="single" w:sz="6" w:space="0" w:color="auto"/>
              <w:left w:val="nil"/>
              <w:bottom w:val="nil"/>
              <w:right w:val="nil"/>
            </w:tcBorders>
            <w:shd w:val="clear" w:color="auto" w:fill="auto"/>
            <w:vAlign w:val="bottom"/>
          </w:tcPr>
          <w:p w:rsidR="00297111" w:rsidRPr="00227C94" w:rsidRDefault="00297111" w:rsidP="00297111">
            <w:pPr>
              <w:pStyle w:val="tblHeaderText"/>
            </w:pPr>
          </w:p>
        </w:tc>
        <w:tc>
          <w:tcPr>
            <w:tcW w:w="113" w:type="dxa"/>
            <w:tcBorders>
              <w:top w:val="nil"/>
              <w:left w:val="nil"/>
              <w:bottom w:val="nil"/>
              <w:right w:val="nil"/>
            </w:tcBorders>
          </w:tcPr>
          <w:p w:rsidR="00297111" w:rsidRPr="00227C94" w:rsidRDefault="00297111" w:rsidP="00297111">
            <w:pPr>
              <w:pStyle w:val="tblHeaderText"/>
            </w:pPr>
          </w:p>
        </w:tc>
        <w:tc>
          <w:tcPr>
            <w:tcW w:w="1417" w:type="dxa"/>
            <w:tcBorders>
              <w:top w:val="single" w:sz="6" w:space="0" w:color="auto"/>
              <w:left w:val="nil"/>
              <w:bottom w:val="nil"/>
              <w:right w:val="nil"/>
            </w:tcBorders>
            <w:shd w:val="clear" w:color="auto" w:fill="auto"/>
            <w:vAlign w:val="bottom"/>
          </w:tcPr>
          <w:p w:rsidR="00297111" w:rsidRPr="00227C94" w:rsidRDefault="00297111" w:rsidP="00297111">
            <w:pPr>
              <w:pStyle w:val="tblHeaderText"/>
            </w:pPr>
          </w:p>
        </w:tc>
        <w:tc>
          <w:tcPr>
            <w:tcW w:w="113" w:type="dxa"/>
            <w:tcBorders>
              <w:left w:val="nil"/>
              <w:bottom w:val="nil"/>
              <w:right w:val="nil"/>
            </w:tcBorders>
            <w:shd w:val="clear" w:color="auto" w:fill="auto"/>
          </w:tcPr>
          <w:p w:rsidR="00297111" w:rsidRPr="00227C94" w:rsidRDefault="00297111" w:rsidP="00297111">
            <w:pPr>
              <w:pStyle w:val="tblHeaderText"/>
            </w:pPr>
          </w:p>
        </w:tc>
        <w:tc>
          <w:tcPr>
            <w:tcW w:w="1417" w:type="dxa"/>
            <w:tcBorders>
              <w:top w:val="single" w:sz="6" w:space="0" w:color="auto"/>
              <w:left w:val="nil"/>
              <w:bottom w:val="nil"/>
              <w:right w:val="nil"/>
            </w:tcBorders>
            <w:shd w:val="clear" w:color="auto" w:fill="auto"/>
          </w:tcPr>
          <w:p w:rsidR="00297111" w:rsidRPr="00227C94" w:rsidRDefault="00297111" w:rsidP="00297111">
            <w:pPr>
              <w:pStyle w:val="tblHeaderText"/>
            </w:pPr>
          </w:p>
        </w:tc>
        <w:tc>
          <w:tcPr>
            <w:tcW w:w="113" w:type="dxa"/>
            <w:tcBorders>
              <w:left w:val="nil"/>
              <w:bottom w:val="nil"/>
              <w:right w:val="nil"/>
            </w:tcBorders>
            <w:shd w:val="clear" w:color="auto" w:fill="auto"/>
          </w:tcPr>
          <w:p w:rsidR="00297111" w:rsidRPr="00227C94" w:rsidRDefault="00297111" w:rsidP="00297111">
            <w:pPr>
              <w:pStyle w:val="tblHeaderText"/>
            </w:pPr>
          </w:p>
        </w:tc>
        <w:tc>
          <w:tcPr>
            <w:tcW w:w="1417" w:type="dxa"/>
            <w:tcBorders>
              <w:top w:val="single" w:sz="6" w:space="0" w:color="auto"/>
              <w:left w:val="nil"/>
              <w:bottom w:val="nil"/>
              <w:right w:val="nil"/>
            </w:tcBorders>
            <w:shd w:val="clear" w:color="auto" w:fill="auto"/>
          </w:tcPr>
          <w:p w:rsidR="00297111" w:rsidRPr="00227C94" w:rsidRDefault="00297111" w:rsidP="00297111">
            <w:pPr>
              <w:pStyle w:val="tblHeaderText"/>
            </w:pPr>
          </w:p>
        </w:tc>
      </w:tr>
      <w:tr w:rsidR="00297111" w:rsidRPr="00227C94" w:rsidTr="00297111">
        <w:trPr>
          <w:cantSplit/>
        </w:trPr>
        <w:tc>
          <w:tcPr>
            <w:tcW w:w="2928" w:type="dxa"/>
            <w:tcBorders>
              <w:top w:val="nil"/>
              <w:left w:val="nil"/>
              <w:bottom w:val="nil"/>
              <w:right w:val="nil"/>
            </w:tcBorders>
            <w:vAlign w:val="bottom"/>
          </w:tcPr>
          <w:p w:rsidR="00297111" w:rsidRPr="00227C94" w:rsidRDefault="00297111" w:rsidP="00297111">
            <w:pPr>
              <w:pStyle w:val="tblText02"/>
              <w:rPr>
                <w:vertAlign w:val="superscript"/>
                <w:lang w:val="en-US"/>
              </w:rPr>
            </w:pPr>
            <w:r w:rsidRPr="00227C94">
              <w:rPr>
                <w:lang w:val="en-US"/>
              </w:rPr>
              <w:t>London p.m.gold fixing price (USD per troy ounce)</w:t>
            </w:r>
            <w:r w:rsidRPr="00227C94">
              <w:rPr>
                <w:vertAlign w:val="superscript"/>
                <w:lang w:val="en-US"/>
              </w:rPr>
              <w:t>(1)</w:t>
            </w:r>
          </w:p>
        </w:tc>
        <w:tc>
          <w:tcPr>
            <w:tcW w:w="1417" w:type="dxa"/>
            <w:tcBorders>
              <w:top w:val="nil"/>
              <w:left w:val="nil"/>
              <w:bottom w:val="nil"/>
              <w:right w:val="nil"/>
            </w:tcBorders>
            <w:vAlign w:val="bottom"/>
          </w:tcPr>
          <w:p w:rsidR="00297111" w:rsidRPr="00227C94" w:rsidRDefault="00297111" w:rsidP="00297111">
            <w:pPr>
              <w:pStyle w:val="tblNumber01"/>
              <w:rPr>
                <w:lang w:val="en-US"/>
              </w:rPr>
            </w:pPr>
            <w:r w:rsidRPr="00227C94">
              <w:t>1,651</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rPr>
                <w:lang w:val="en-US"/>
              </w:rPr>
            </w:pPr>
            <w:r w:rsidRPr="00227C94">
              <w:t>1,44</w:t>
            </w:r>
            <w:r w:rsidR="0080532B" w:rsidRPr="00227C94">
              <w:rPr>
                <w:lang w:val="en-US"/>
              </w:rPr>
              <w:t>5</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pPr>
            <w:r w:rsidRPr="00227C94">
              <w:t>14</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rPr>
                <w:lang w:val="en-US"/>
              </w:rPr>
            </w:pPr>
            <w:r w:rsidRPr="00227C94">
              <w:t>1,57</w:t>
            </w:r>
            <w:r w:rsidR="0080532B" w:rsidRPr="00227C94">
              <w:rPr>
                <w:lang w:val="en-US"/>
              </w:rPr>
              <w:t>2</w:t>
            </w:r>
          </w:p>
        </w:tc>
      </w:tr>
      <w:tr w:rsidR="00297111" w:rsidRPr="00227C94" w:rsidTr="00297111">
        <w:trPr>
          <w:cantSplit/>
        </w:trPr>
        <w:tc>
          <w:tcPr>
            <w:tcW w:w="2928" w:type="dxa"/>
            <w:tcBorders>
              <w:top w:val="nil"/>
              <w:left w:val="nil"/>
              <w:bottom w:val="nil"/>
              <w:right w:val="nil"/>
            </w:tcBorders>
            <w:vAlign w:val="bottom"/>
          </w:tcPr>
          <w:p w:rsidR="00297111" w:rsidRPr="00227C94" w:rsidRDefault="00297111" w:rsidP="00297111">
            <w:pPr>
              <w:pStyle w:val="tblText02"/>
              <w:rPr>
                <w:vertAlign w:val="superscript"/>
                <w:lang w:val="en-US"/>
              </w:rPr>
            </w:pPr>
            <w:r w:rsidRPr="00227C94">
              <w:rPr>
                <w:lang w:val="en-US"/>
              </w:rPr>
              <w:t>Oil (Brent brand) (USD per barrel)</w:t>
            </w:r>
            <w:r w:rsidRPr="00227C94">
              <w:rPr>
                <w:vertAlign w:val="superscript"/>
                <w:lang w:val="en-US"/>
              </w:rPr>
              <w:t>(2)</w:t>
            </w:r>
          </w:p>
        </w:tc>
        <w:tc>
          <w:tcPr>
            <w:tcW w:w="1417" w:type="dxa"/>
            <w:tcBorders>
              <w:top w:val="nil"/>
              <w:left w:val="nil"/>
              <w:bottom w:val="nil"/>
              <w:right w:val="nil"/>
            </w:tcBorders>
            <w:vAlign w:val="bottom"/>
          </w:tcPr>
          <w:p w:rsidR="00297111" w:rsidRPr="00227C94" w:rsidRDefault="00297111" w:rsidP="00297111">
            <w:pPr>
              <w:pStyle w:val="tblNumber01"/>
              <w:rPr>
                <w:lang w:val="en-US"/>
              </w:rPr>
            </w:pPr>
            <w:r w:rsidRPr="00227C94">
              <w:t>11</w:t>
            </w:r>
            <w:r w:rsidR="0080532B" w:rsidRPr="00227C94">
              <w:rPr>
                <w:lang w:val="en-US"/>
              </w:rPr>
              <w:t>4</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rPr>
                <w:lang w:val="en-US"/>
              </w:rPr>
            </w:pPr>
            <w:r w:rsidRPr="00227C94">
              <w:t>111</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pPr>
            <w:r w:rsidRPr="00227C94">
              <w:t>2</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rPr>
                <w:lang w:val="en-US"/>
              </w:rPr>
            </w:pPr>
            <w:r w:rsidRPr="00227C94">
              <w:t>111</w:t>
            </w:r>
          </w:p>
        </w:tc>
      </w:tr>
      <w:tr w:rsidR="00297111" w:rsidRPr="00227C94" w:rsidTr="00297111">
        <w:trPr>
          <w:cantSplit/>
        </w:trPr>
        <w:tc>
          <w:tcPr>
            <w:tcW w:w="2928" w:type="dxa"/>
            <w:tcBorders>
              <w:top w:val="nil"/>
              <w:left w:val="nil"/>
              <w:bottom w:val="nil"/>
              <w:right w:val="nil"/>
            </w:tcBorders>
          </w:tcPr>
          <w:p w:rsidR="00297111" w:rsidRPr="00227C94" w:rsidRDefault="00297111" w:rsidP="00297111">
            <w:pPr>
              <w:pStyle w:val="tblText02"/>
              <w:rPr>
                <w:vertAlign w:val="superscript"/>
                <w:lang w:val="en-US"/>
              </w:rPr>
            </w:pPr>
            <w:r w:rsidRPr="00227C94">
              <w:rPr>
                <w:lang w:val="en-US"/>
              </w:rPr>
              <w:t>Steel (hot rolled) (USD per tonne)</w:t>
            </w:r>
            <w:r w:rsidRPr="00227C94">
              <w:rPr>
                <w:vertAlign w:val="superscript"/>
                <w:lang w:val="en-US"/>
              </w:rPr>
              <w:t>(3)</w:t>
            </w:r>
          </w:p>
        </w:tc>
        <w:tc>
          <w:tcPr>
            <w:tcW w:w="1417" w:type="dxa"/>
            <w:tcBorders>
              <w:top w:val="nil"/>
              <w:left w:val="nil"/>
              <w:bottom w:val="nil"/>
              <w:right w:val="nil"/>
            </w:tcBorders>
            <w:vAlign w:val="bottom"/>
          </w:tcPr>
          <w:p w:rsidR="00297111" w:rsidRPr="00227C94" w:rsidRDefault="00297111" w:rsidP="00297111">
            <w:pPr>
              <w:pStyle w:val="tblNumber01"/>
              <w:rPr>
                <w:lang w:val="en-US"/>
              </w:rPr>
            </w:pPr>
            <w:r w:rsidRPr="00227C94">
              <w:t>668</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rPr>
                <w:lang w:val="en-US"/>
              </w:rPr>
            </w:pPr>
            <w:r w:rsidRPr="00227C94">
              <w:t>72</w:t>
            </w:r>
            <w:r w:rsidR="0080532B" w:rsidRPr="00227C94">
              <w:rPr>
                <w:lang w:val="en-US"/>
              </w:rPr>
              <w:t>2</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0"/>
            </w:pPr>
            <w:r w:rsidRPr="00227C94">
              <w:t>(7)</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rPr>
                <w:lang w:val="en-US"/>
              </w:rPr>
            </w:pPr>
            <w:r w:rsidRPr="00227C94">
              <w:t>72</w:t>
            </w:r>
            <w:r w:rsidR="0080532B" w:rsidRPr="00227C94">
              <w:rPr>
                <w:lang w:val="en-US"/>
              </w:rPr>
              <w:t>6</w:t>
            </w:r>
          </w:p>
        </w:tc>
      </w:tr>
      <w:tr w:rsidR="00297111" w:rsidRPr="00227C94" w:rsidTr="00297111">
        <w:trPr>
          <w:cantSplit/>
        </w:trPr>
        <w:tc>
          <w:tcPr>
            <w:tcW w:w="2928" w:type="dxa"/>
            <w:tcBorders>
              <w:top w:val="nil"/>
              <w:left w:val="nil"/>
              <w:bottom w:val="nil"/>
              <w:right w:val="nil"/>
            </w:tcBorders>
          </w:tcPr>
          <w:p w:rsidR="00297111" w:rsidRPr="00227C94" w:rsidRDefault="00297111" w:rsidP="00297111">
            <w:pPr>
              <w:pStyle w:val="tblText02"/>
              <w:rPr>
                <w:vertAlign w:val="superscript"/>
              </w:rPr>
            </w:pPr>
            <w:r w:rsidRPr="00227C94">
              <w:t>Average RUB/USD rate</w:t>
            </w:r>
            <w:r w:rsidRPr="00227C94">
              <w:rPr>
                <w:vertAlign w:val="superscript"/>
              </w:rPr>
              <w:t>(4)</w:t>
            </w:r>
          </w:p>
        </w:tc>
        <w:tc>
          <w:tcPr>
            <w:tcW w:w="1417" w:type="dxa"/>
            <w:tcBorders>
              <w:top w:val="nil"/>
              <w:left w:val="nil"/>
              <w:bottom w:val="nil"/>
              <w:right w:val="nil"/>
            </w:tcBorders>
            <w:vAlign w:val="bottom"/>
          </w:tcPr>
          <w:p w:rsidR="00297111" w:rsidRPr="00227C94" w:rsidRDefault="00297111" w:rsidP="00297111">
            <w:pPr>
              <w:pStyle w:val="tblNumber01"/>
            </w:pPr>
            <w:r w:rsidRPr="00227C94">
              <w:t>30.64</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pPr>
            <w:r w:rsidRPr="00227C94">
              <w:t>28.62</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pPr>
            <w:r w:rsidRPr="00227C94">
              <w:t>7</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pPr>
            <w:r w:rsidRPr="00227C94">
              <w:t>29.39</w:t>
            </w:r>
          </w:p>
        </w:tc>
      </w:tr>
      <w:tr w:rsidR="00297111" w:rsidRPr="00227C94" w:rsidTr="00297111">
        <w:trPr>
          <w:cantSplit/>
        </w:trPr>
        <w:tc>
          <w:tcPr>
            <w:tcW w:w="2928" w:type="dxa"/>
            <w:tcBorders>
              <w:top w:val="nil"/>
              <w:left w:val="nil"/>
              <w:bottom w:val="nil"/>
              <w:right w:val="nil"/>
            </w:tcBorders>
          </w:tcPr>
          <w:p w:rsidR="00297111" w:rsidRPr="00227C94" w:rsidRDefault="00297111" w:rsidP="00297111">
            <w:pPr>
              <w:pStyle w:val="tblText02"/>
              <w:rPr>
                <w:lang w:val="en-US"/>
              </w:rPr>
            </w:pPr>
            <w:r w:rsidRPr="00227C94">
              <w:rPr>
                <w:lang w:val="en-US"/>
              </w:rPr>
              <w:t>Period end RUB/USD rate</w:t>
            </w:r>
          </w:p>
        </w:tc>
        <w:tc>
          <w:tcPr>
            <w:tcW w:w="1417" w:type="dxa"/>
            <w:tcBorders>
              <w:top w:val="nil"/>
              <w:left w:val="nil"/>
              <w:bottom w:val="nil"/>
              <w:right w:val="nil"/>
            </w:tcBorders>
            <w:vAlign w:val="bottom"/>
          </w:tcPr>
          <w:p w:rsidR="00297111" w:rsidRPr="00227C94" w:rsidRDefault="00297111" w:rsidP="00297111">
            <w:pPr>
              <w:pStyle w:val="tblNumber01"/>
            </w:pPr>
            <w:r w:rsidRPr="00227C94">
              <w:t>32.82</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pPr>
            <w:r w:rsidRPr="00227C94">
              <w:t>28.08</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pPr>
            <w:r w:rsidRPr="00227C94">
              <w:t>17</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pPr>
            <w:r w:rsidRPr="00227C94">
              <w:t>32.20</w:t>
            </w:r>
          </w:p>
        </w:tc>
      </w:tr>
      <w:tr w:rsidR="00297111" w:rsidRPr="00227C94" w:rsidTr="00297111">
        <w:trPr>
          <w:cantSplit/>
        </w:trPr>
        <w:tc>
          <w:tcPr>
            <w:tcW w:w="2928" w:type="dxa"/>
            <w:tcBorders>
              <w:top w:val="nil"/>
              <w:left w:val="nil"/>
              <w:bottom w:val="nil"/>
              <w:right w:val="nil"/>
            </w:tcBorders>
            <w:vAlign w:val="bottom"/>
          </w:tcPr>
          <w:p w:rsidR="00297111" w:rsidRPr="00227C94" w:rsidRDefault="00297111" w:rsidP="00297111">
            <w:pPr>
              <w:pStyle w:val="tblText02"/>
              <w:rPr>
                <w:vertAlign w:val="superscript"/>
              </w:rPr>
            </w:pPr>
            <w:r w:rsidRPr="00227C94">
              <w:t>Average KZT/USD rate</w:t>
            </w:r>
            <w:r w:rsidRPr="00227C94">
              <w:rPr>
                <w:vertAlign w:val="superscript"/>
              </w:rPr>
              <w:t>(5)</w:t>
            </w:r>
          </w:p>
        </w:tc>
        <w:tc>
          <w:tcPr>
            <w:tcW w:w="1417" w:type="dxa"/>
            <w:tcBorders>
              <w:top w:val="nil"/>
              <w:left w:val="nil"/>
              <w:bottom w:val="nil"/>
              <w:right w:val="nil"/>
            </w:tcBorders>
            <w:vAlign w:val="bottom"/>
          </w:tcPr>
          <w:p w:rsidR="00297111" w:rsidRPr="00227C94" w:rsidRDefault="00297111" w:rsidP="00297111">
            <w:pPr>
              <w:pStyle w:val="tblNumber01"/>
            </w:pPr>
            <w:r w:rsidRPr="00227C94">
              <w:t>148.15</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pPr>
            <w:r w:rsidRPr="00227C94">
              <w:t>146.00</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pPr>
            <w:r w:rsidRPr="00227C94">
              <w:t>1</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pPr>
            <w:r w:rsidRPr="00227C94">
              <w:t>146.62</w:t>
            </w:r>
          </w:p>
        </w:tc>
      </w:tr>
      <w:tr w:rsidR="00297111" w:rsidRPr="00227C94" w:rsidTr="00297111">
        <w:trPr>
          <w:cantSplit/>
        </w:trPr>
        <w:tc>
          <w:tcPr>
            <w:tcW w:w="2928" w:type="dxa"/>
            <w:tcBorders>
              <w:top w:val="nil"/>
              <w:left w:val="nil"/>
              <w:bottom w:val="nil"/>
              <w:right w:val="nil"/>
            </w:tcBorders>
            <w:vAlign w:val="bottom"/>
          </w:tcPr>
          <w:p w:rsidR="00297111" w:rsidRPr="00227C94" w:rsidRDefault="00297111" w:rsidP="00297111">
            <w:pPr>
              <w:pStyle w:val="tblText02"/>
              <w:rPr>
                <w:lang w:val="en-US"/>
              </w:rPr>
            </w:pPr>
            <w:r w:rsidRPr="00227C94">
              <w:rPr>
                <w:lang w:val="en-US"/>
              </w:rPr>
              <w:t>Period end KZT/USD rate</w:t>
            </w:r>
          </w:p>
        </w:tc>
        <w:tc>
          <w:tcPr>
            <w:tcW w:w="1417" w:type="dxa"/>
            <w:tcBorders>
              <w:top w:val="nil"/>
              <w:left w:val="nil"/>
              <w:bottom w:val="nil"/>
              <w:right w:val="nil"/>
            </w:tcBorders>
            <w:vAlign w:val="bottom"/>
          </w:tcPr>
          <w:p w:rsidR="00297111" w:rsidRPr="00227C94" w:rsidRDefault="00297111" w:rsidP="00297111">
            <w:pPr>
              <w:pStyle w:val="tblNumber01"/>
            </w:pPr>
            <w:r w:rsidRPr="00227C94">
              <w:t>149.42</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pPr>
            <w:r w:rsidRPr="00227C94">
              <w:t>146.25</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pPr>
            <w:r w:rsidRPr="00227C94">
              <w:t>2</w:t>
            </w:r>
          </w:p>
        </w:tc>
        <w:tc>
          <w:tcPr>
            <w:tcW w:w="113" w:type="dxa"/>
            <w:tcBorders>
              <w:top w:val="nil"/>
              <w:left w:val="nil"/>
              <w:bottom w:val="nil"/>
              <w:right w:val="nil"/>
            </w:tcBorders>
            <w:vAlign w:val="bottom"/>
          </w:tcPr>
          <w:p w:rsidR="00297111" w:rsidRPr="00227C94" w:rsidRDefault="00297111" w:rsidP="00297111">
            <w:pPr>
              <w:pStyle w:val="tblNumber01"/>
            </w:pPr>
          </w:p>
        </w:tc>
        <w:tc>
          <w:tcPr>
            <w:tcW w:w="1417" w:type="dxa"/>
            <w:tcBorders>
              <w:top w:val="nil"/>
              <w:left w:val="nil"/>
              <w:bottom w:val="nil"/>
              <w:right w:val="nil"/>
            </w:tcBorders>
            <w:vAlign w:val="bottom"/>
          </w:tcPr>
          <w:p w:rsidR="00297111" w:rsidRPr="00227C94" w:rsidRDefault="00297111" w:rsidP="00297111">
            <w:pPr>
              <w:pStyle w:val="tblNumber01"/>
            </w:pPr>
            <w:r w:rsidRPr="00227C94">
              <w:t>148.40</w:t>
            </w:r>
          </w:p>
        </w:tc>
      </w:tr>
    </w:tbl>
    <w:p w:rsidR="00297111" w:rsidRPr="00227C94" w:rsidRDefault="00297111" w:rsidP="00297111">
      <w:pPr>
        <w:pStyle w:val="23"/>
        <w:rPr>
          <w:color w:val="auto"/>
          <w:sz w:val="18"/>
          <w:lang w:val="en-US"/>
        </w:rPr>
      </w:pPr>
      <w:r w:rsidRPr="00227C94">
        <w:rPr>
          <w:color w:val="auto"/>
          <w:lang w:val="en-US"/>
        </w:rPr>
        <w:t>_______________________________</w:t>
      </w:r>
    </w:p>
    <w:p w:rsidR="00916675" w:rsidRPr="00227C94" w:rsidRDefault="00916675" w:rsidP="00297111">
      <w:pPr>
        <w:pStyle w:val="2"/>
        <w:rPr>
          <w:sz w:val="18"/>
          <w:lang w:val="en-US"/>
        </w:rPr>
      </w:pPr>
      <w:bookmarkStart w:id="49" w:name="_DV_M79"/>
      <w:bookmarkEnd w:id="49"/>
      <w:r w:rsidRPr="00227C94">
        <w:rPr>
          <w:sz w:val="18"/>
          <w:lang w:val="en-US"/>
        </w:rPr>
        <w:t>Source: London Bullion Market Association.</w:t>
      </w:r>
    </w:p>
    <w:p w:rsidR="00916675" w:rsidRPr="00227C94" w:rsidRDefault="00916675" w:rsidP="00297111">
      <w:pPr>
        <w:pStyle w:val="2"/>
        <w:rPr>
          <w:sz w:val="18"/>
        </w:rPr>
      </w:pPr>
      <w:bookmarkStart w:id="50" w:name="_DV_M80"/>
      <w:bookmarkEnd w:id="50"/>
      <w:r w:rsidRPr="00227C94">
        <w:rPr>
          <w:sz w:val="18"/>
        </w:rPr>
        <w:t>Source: Bloomberg.</w:t>
      </w:r>
    </w:p>
    <w:p w:rsidR="00916675" w:rsidRPr="00227C94" w:rsidRDefault="00916675" w:rsidP="00297111">
      <w:pPr>
        <w:pStyle w:val="2"/>
        <w:rPr>
          <w:sz w:val="18"/>
        </w:rPr>
      </w:pPr>
      <w:bookmarkStart w:id="51" w:name="_DV_M81"/>
      <w:bookmarkEnd w:id="51"/>
      <w:r w:rsidRPr="00227C94">
        <w:rPr>
          <w:sz w:val="18"/>
        </w:rPr>
        <w:t>Source: Steel Business Briefing.</w:t>
      </w:r>
    </w:p>
    <w:p w:rsidR="00916675" w:rsidRPr="00227C94" w:rsidRDefault="00916675" w:rsidP="00297111">
      <w:pPr>
        <w:pStyle w:val="2"/>
        <w:rPr>
          <w:sz w:val="18"/>
          <w:lang w:val="en-US"/>
        </w:rPr>
      </w:pPr>
      <w:bookmarkStart w:id="52" w:name="_DV_M82"/>
      <w:bookmarkEnd w:id="52"/>
      <w:r w:rsidRPr="00227C94">
        <w:rPr>
          <w:sz w:val="18"/>
          <w:lang w:val="en-US"/>
        </w:rPr>
        <w:t>Source: The Central Bank of Russia.</w:t>
      </w:r>
    </w:p>
    <w:p w:rsidR="00916675" w:rsidRPr="00227C94" w:rsidRDefault="00916675" w:rsidP="00297111">
      <w:pPr>
        <w:pStyle w:val="2"/>
        <w:rPr>
          <w:sz w:val="18"/>
          <w:lang w:val="en-US"/>
        </w:rPr>
      </w:pPr>
      <w:bookmarkStart w:id="53" w:name="_DV_M83"/>
      <w:bookmarkEnd w:id="53"/>
      <w:r w:rsidRPr="00227C94">
        <w:rPr>
          <w:sz w:val="18"/>
          <w:lang w:val="en-US"/>
        </w:rPr>
        <w:t>Source: The National Bank of Kazakhstan.</w:t>
      </w:r>
    </w:p>
    <w:p w:rsidR="00916675" w:rsidRPr="00227C94" w:rsidRDefault="00916675" w:rsidP="00297111">
      <w:pPr>
        <w:pStyle w:val="23"/>
        <w:rPr>
          <w:color w:val="auto"/>
          <w:lang w:val="en-US"/>
        </w:rPr>
      </w:pPr>
    </w:p>
    <w:p w:rsidR="00916675" w:rsidRPr="00227C94" w:rsidRDefault="00916675" w:rsidP="00297111">
      <w:pPr>
        <w:pStyle w:val="31"/>
        <w:rPr>
          <w:lang w:val="en-US"/>
        </w:rPr>
      </w:pPr>
      <w:bookmarkStart w:id="54" w:name="_DV_M84"/>
      <w:bookmarkEnd w:id="54"/>
      <w:r w:rsidRPr="00227C94">
        <w:t>Gold prices</w:t>
      </w:r>
    </w:p>
    <w:p w:rsidR="00297111" w:rsidRPr="00227C94" w:rsidRDefault="00297111" w:rsidP="00297111">
      <w:pPr>
        <w:pStyle w:val="23"/>
        <w:rPr>
          <w:color w:val="auto"/>
          <w:lang w:val="en-US"/>
        </w:rPr>
      </w:pPr>
    </w:p>
    <w:p w:rsidR="00916675" w:rsidRPr="00227C94" w:rsidRDefault="00916675" w:rsidP="00297111">
      <w:pPr>
        <w:pStyle w:val="23"/>
        <w:rPr>
          <w:color w:val="auto"/>
          <w:lang w:val="en-US"/>
        </w:rPr>
      </w:pPr>
      <w:bookmarkStart w:id="55" w:name="_DV_M85"/>
      <w:bookmarkEnd w:id="55"/>
      <w:r w:rsidRPr="00227C94">
        <w:rPr>
          <w:color w:val="auto"/>
          <w:lang w:val="en-US"/>
        </w:rPr>
        <w:t xml:space="preserve">The market price of gold is the most significant factor influencing the profitability and operating cash </w:t>
      </w:r>
      <w:r w:rsidRPr="00227C94">
        <w:rPr>
          <w:color w:val="auto"/>
          <w:spacing w:val="-2"/>
          <w:lang w:val="en-US"/>
        </w:rPr>
        <w:t xml:space="preserve">flow generation of the Group. The global gold price is subject to volatile movements over short periods </w:t>
      </w:r>
      <w:r w:rsidRPr="00227C94">
        <w:rPr>
          <w:color w:val="auto"/>
          <w:lang w:val="en-US"/>
        </w:rPr>
        <w:t xml:space="preserve">of time. In the six months ended 30 June 2012, the average gold p.m. fixing price in London was </w:t>
      </w:r>
      <w:r w:rsidRPr="00227C94">
        <w:rPr>
          <w:color w:val="auto"/>
          <w:spacing w:val="-2"/>
          <w:lang w:val="en-US"/>
        </w:rPr>
        <w:t xml:space="preserve">USD 1,651.3 per ounce, with gold reaching its lowest level of USD 1,540.0 per ounce on 30 May 2012 </w:t>
      </w:r>
      <w:r w:rsidRPr="00227C94">
        <w:rPr>
          <w:color w:val="auto"/>
          <w:lang w:val="en-US"/>
        </w:rPr>
        <w:t>and a high of USD 1,781.0 on 28 February 2012.</w:t>
      </w:r>
    </w:p>
    <w:p w:rsidR="00297111" w:rsidRPr="00227C94" w:rsidRDefault="00297111" w:rsidP="00297111">
      <w:pPr>
        <w:pStyle w:val="23"/>
        <w:rPr>
          <w:color w:val="auto"/>
          <w:lang w:val="en-US"/>
        </w:rPr>
      </w:pPr>
    </w:p>
    <w:p w:rsidR="00916675" w:rsidRPr="00227C94" w:rsidRDefault="00916675" w:rsidP="00297111">
      <w:pPr>
        <w:pStyle w:val="31"/>
        <w:rPr>
          <w:lang w:val="en-US"/>
        </w:rPr>
      </w:pPr>
      <w:bookmarkStart w:id="56" w:name="_DV_M86"/>
      <w:bookmarkStart w:id="57" w:name="_DV_M87"/>
      <w:bookmarkStart w:id="58" w:name="_DV_M88"/>
      <w:bookmarkStart w:id="59" w:name="_DV_M89"/>
      <w:bookmarkStart w:id="60" w:name="_DV_M90"/>
      <w:bookmarkStart w:id="61" w:name="_DV_M91"/>
      <w:bookmarkStart w:id="62" w:name="_DV_M92"/>
      <w:bookmarkStart w:id="63" w:name="_DV_M93"/>
      <w:bookmarkEnd w:id="56"/>
      <w:bookmarkEnd w:id="57"/>
      <w:bookmarkEnd w:id="58"/>
      <w:bookmarkEnd w:id="59"/>
      <w:bookmarkEnd w:id="60"/>
      <w:bookmarkEnd w:id="61"/>
      <w:bookmarkEnd w:id="62"/>
      <w:bookmarkEnd w:id="63"/>
      <w:r w:rsidRPr="00227C94">
        <w:rPr>
          <w:lang w:val="en-US"/>
        </w:rPr>
        <w:t xml:space="preserve">Oil, oil products and </w:t>
      </w:r>
      <w:bookmarkStart w:id="64" w:name="_DV_C38"/>
      <w:r w:rsidRPr="00227C94">
        <w:rPr>
          <w:lang w:val="en-US"/>
        </w:rPr>
        <w:t>steel prices</w:t>
      </w:r>
      <w:bookmarkEnd w:id="64"/>
    </w:p>
    <w:p w:rsidR="00297111" w:rsidRPr="00227C94" w:rsidRDefault="00297111" w:rsidP="00297111">
      <w:pPr>
        <w:pStyle w:val="23"/>
        <w:rPr>
          <w:color w:val="auto"/>
          <w:lang w:val="en-US"/>
        </w:rPr>
      </w:pPr>
    </w:p>
    <w:p w:rsidR="00916675" w:rsidRPr="00227C94" w:rsidRDefault="00916675" w:rsidP="00297111">
      <w:pPr>
        <w:pStyle w:val="23"/>
        <w:rPr>
          <w:color w:val="auto"/>
          <w:spacing w:val="-2"/>
          <w:lang w:val="en-US"/>
        </w:rPr>
      </w:pPr>
      <w:bookmarkStart w:id="65" w:name="_DV_M94"/>
      <w:bookmarkEnd w:id="65"/>
      <w:r w:rsidRPr="00227C94">
        <w:rPr>
          <w:color w:val="auto"/>
          <w:lang w:val="en-US"/>
        </w:rPr>
        <w:t xml:space="preserve">A significant portion of costs included in the Group's cost of sales are directly or indirectly impacted </w:t>
      </w:r>
      <w:r w:rsidRPr="00227C94">
        <w:rPr>
          <w:color w:val="auto"/>
          <w:spacing w:val="-2"/>
          <w:lang w:val="en-US"/>
        </w:rPr>
        <w:t xml:space="preserve">by the prices of oil and steel. Changes in oil prices impact the prices of heating oil, diesel fuel, gasoline </w:t>
      </w:r>
      <w:r w:rsidRPr="00227C94">
        <w:rPr>
          <w:color w:val="auto"/>
          <w:lang w:val="en-US"/>
        </w:rPr>
        <w:t>and lubricants for mining and construction equipment. However, in Russia the impact on oil prices could be offset or enhanced by excise duty policy of the government. For example excise duty rate for diesel fuel increased in average 54% p-o-p (H1 2011 to H1 2012)</w:t>
      </w:r>
      <w:r w:rsidR="00EA241F" w:rsidRPr="00227C94">
        <w:rPr>
          <w:color w:val="auto"/>
          <w:lang w:val="en-US"/>
        </w:rPr>
        <w:t xml:space="preserve"> and</w:t>
      </w:r>
      <w:r w:rsidRPr="00227C94">
        <w:rPr>
          <w:color w:val="auto"/>
          <w:lang w:val="en-US"/>
        </w:rPr>
        <w:t xml:space="preserve"> excise duty rate for gasoline </w:t>
      </w:r>
      <w:r w:rsidRPr="00227C94">
        <w:rPr>
          <w:color w:val="auto"/>
          <w:spacing w:val="-2"/>
          <w:lang w:val="en-US"/>
        </w:rPr>
        <w:t xml:space="preserve">increased in average 31% p-o-p. Steel forms the basis for the price of all rolled metal products, pipes, machinery and vehicles. In the reporting period </w:t>
      </w:r>
      <w:bookmarkStart w:id="66" w:name="_DV_C39"/>
      <w:r w:rsidRPr="00227C94">
        <w:rPr>
          <w:color w:val="auto"/>
          <w:spacing w:val="-2"/>
          <w:lang w:val="en-US"/>
        </w:rPr>
        <w:t xml:space="preserve">average </w:t>
      </w:r>
      <w:bookmarkStart w:id="67" w:name="_DV_M95"/>
      <w:bookmarkEnd w:id="66"/>
      <w:bookmarkEnd w:id="67"/>
      <w:r w:rsidRPr="00227C94">
        <w:rPr>
          <w:color w:val="auto"/>
          <w:spacing w:val="-2"/>
          <w:lang w:val="en-US"/>
        </w:rPr>
        <w:t>oil prices increased 2% in comparison with the first half of 2011</w:t>
      </w:r>
      <w:r w:rsidR="00EA241F" w:rsidRPr="00227C94">
        <w:rPr>
          <w:color w:val="auto"/>
          <w:spacing w:val="-2"/>
          <w:lang w:val="en-US"/>
        </w:rPr>
        <w:t>.</w:t>
      </w:r>
      <w:r w:rsidRPr="00227C94">
        <w:rPr>
          <w:color w:val="auto"/>
          <w:spacing w:val="-2"/>
          <w:lang w:val="en-US"/>
        </w:rPr>
        <w:t xml:space="preserve"> </w:t>
      </w:r>
      <w:bookmarkStart w:id="68" w:name="_DV_C40"/>
      <w:r w:rsidR="00EA241F" w:rsidRPr="00227C94">
        <w:rPr>
          <w:color w:val="auto"/>
          <w:spacing w:val="-2"/>
          <w:lang w:val="en-US"/>
        </w:rPr>
        <w:t>T</w:t>
      </w:r>
      <w:r w:rsidRPr="00227C94">
        <w:rPr>
          <w:color w:val="auto"/>
          <w:spacing w:val="-2"/>
          <w:lang w:val="en-US"/>
        </w:rPr>
        <w:t xml:space="preserve">he price </w:t>
      </w:r>
      <w:r w:rsidR="00EA241F" w:rsidRPr="00227C94">
        <w:rPr>
          <w:color w:val="auto"/>
          <w:spacing w:val="-2"/>
          <w:lang w:val="en-US"/>
        </w:rPr>
        <w:t>of</w:t>
      </w:r>
      <w:r w:rsidRPr="00227C94">
        <w:rPr>
          <w:color w:val="auto"/>
          <w:spacing w:val="-2"/>
          <w:lang w:val="en-US"/>
        </w:rPr>
        <w:t xml:space="preserve"> oil products in Russia increased </w:t>
      </w:r>
      <w:r w:rsidR="00EA241F" w:rsidRPr="00227C94">
        <w:rPr>
          <w:color w:val="auto"/>
          <w:spacing w:val="-2"/>
          <w:lang w:val="en-US"/>
        </w:rPr>
        <w:t>between</w:t>
      </w:r>
      <w:r w:rsidRPr="00227C94">
        <w:rPr>
          <w:color w:val="auto"/>
          <w:spacing w:val="-2"/>
          <w:lang w:val="en-US"/>
        </w:rPr>
        <w:t xml:space="preserve"> 0% </w:t>
      </w:r>
      <w:r w:rsidR="00EA241F" w:rsidRPr="00227C94">
        <w:rPr>
          <w:color w:val="auto"/>
          <w:spacing w:val="-2"/>
          <w:lang w:val="en-US"/>
        </w:rPr>
        <w:t>and</w:t>
      </w:r>
      <w:r w:rsidRPr="00227C94">
        <w:rPr>
          <w:color w:val="auto"/>
          <w:spacing w:val="-2"/>
          <w:lang w:val="en-US"/>
        </w:rPr>
        <w:t xml:space="preserve"> 60%</w:t>
      </w:r>
      <w:r w:rsidR="00EA241F" w:rsidRPr="00227C94">
        <w:rPr>
          <w:color w:val="auto"/>
          <w:spacing w:val="-2"/>
          <w:lang w:val="en-US"/>
        </w:rPr>
        <w:t>. A</w:t>
      </w:r>
      <w:r w:rsidRPr="00227C94">
        <w:rPr>
          <w:color w:val="auto"/>
          <w:spacing w:val="-2"/>
          <w:lang w:val="en-US"/>
        </w:rPr>
        <w:t>verage</w:t>
      </w:r>
      <w:bookmarkStart w:id="69" w:name="_DV_M96"/>
      <w:bookmarkEnd w:id="68"/>
      <w:bookmarkEnd w:id="69"/>
      <w:r w:rsidRPr="00227C94">
        <w:rPr>
          <w:color w:val="auto"/>
          <w:spacing w:val="-2"/>
          <w:lang w:val="en-US"/>
        </w:rPr>
        <w:t xml:space="preserve"> steel prices decreased by 7% over the same period.</w:t>
      </w:r>
    </w:p>
    <w:p w:rsidR="00297111" w:rsidRPr="00227C94" w:rsidRDefault="00297111" w:rsidP="00297111">
      <w:pPr>
        <w:pStyle w:val="23"/>
        <w:rPr>
          <w:color w:val="auto"/>
          <w:lang w:val="en-US"/>
        </w:rPr>
      </w:pPr>
    </w:p>
    <w:p w:rsidR="00916675" w:rsidRPr="00227C94" w:rsidRDefault="00916675" w:rsidP="00297111">
      <w:pPr>
        <w:pStyle w:val="31"/>
        <w:rPr>
          <w:lang w:val="en-US"/>
        </w:rPr>
      </w:pPr>
      <w:r w:rsidRPr="00227C94">
        <w:t>Exchange rates</w:t>
      </w:r>
    </w:p>
    <w:p w:rsidR="00297111" w:rsidRPr="00227C94" w:rsidRDefault="00297111" w:rsidP="00297111">
      <w:pPr>
        <w:pStyle w:val="23"/>
        <w:rPr>
          <w:color w:val="auto"/>
          <w:lang w:val="en-US"/>
        </w:rPr>
      </w:pPr>
    </w:p>
    <w:p w:rsidR="00916675" w:rsidRPr="00227C94" w:rsidRDefault="00916675" w:rsidP="00297111">
      <w:pPr>
        <w:pStyle w:val="23"/>
        <w:rPr>
          <w:color w:val="auto"/>
          <w:spacing w:val="-2"/>
          <w:lang w:val="en-US"/>
        </w:rPr>
      </w:pPr>
      <w:r w:rsidRPr="00227C94">
        <w:rPr>
          <w:color w:val="auto"/>
          <w:spacing w:val="-5"/>
          <w:lang w:val="en-US"/>
        </w:rPr>
        <w:t>The Group's revenue from gold sales is denominated in US dollars, whereas</w:t>
      </w:r>
      <w:r w:rsidR="00297111" w:rsidRPr="00227C94">
        <w:rPr>
          <w:color w:val="auto"/>
          <w:spacing w:val="-5"/>
          <w:lang w:val="en-US"/>
        </w:rPr>
        <w:t xml:space="preserve"> most of the Group’</w:t>
      </w:r>
      <w:r w:rsidRPr="00227C94">
        <w:rPr>
          <w:color w:val="auto"/>
          <w:spacing w:val="-5"/>
          <w:lang w:val="en-US"/>
        </w:rPr>
        <w:t xml:space="preserve">s operating expenses are denominated in Russian roubles (“RUB”). Accordingly, an appreciation of the Russian rouble </w:t>
      </w:r>
      <w:r w:rsidRPr="00227C94">
        <w:rPr>
          <w:color w:val="auto"/>
          <w:lang w:val="en-US"/>
        </w:rPr>
        <w:t xml:space="preserve">against the US dollar may negatively affect the Group’s margins by increasing the US dollar value of its RUB-denominated costs. Conversely, an appreciation of the US dollar against the Russian rouble </w:t>
      </w:r>
      <w:r w:rsidRPr="00227C94">
        <w:rPr>
          <w:color w:val="auto"/>
          <w:spacing w:val="-2"/>
          <w:lang w:val="en-US"/>
        </w:rPr>
        <w:t xml:space="preserve">may positively affect the Group’s margins by decreasing the US dollar value of its rouble-denominated costs. In the first six months of 2012 the average RUB/USD exchange rate increased to RUB 30.64 per </w:t>
      </w:r>
      <w:r w:rsidRPr="00227C94">
        <w:rPr>
          <w:color w:val="auto"/>
          <w:lang w:val="en-US"/>
        </w:rPr>
        <w:t xml:space="preserve">US dollar from 28.62 in the first half of 2011. This contributed to a potential decrease in USD terms during the first half of 2012 in comparison with the first half of 2011 for salaries and other expenses denominated in Russian roubles, due to the effect of translation to the USD presentation currency. </w:t>
      </w:r>
      <w:r w:rsidRPr="00227C94">
        <w:rPr>
          <w:color w:val="auto"/>
          <w:spacing w:val="-2"/>
          <w:lang w:val="en-US"/>
        </w:rPr>
        <w:t>The increase in the closing rate to RUB 32.82 per USD (31 December 2011: 32.20) led to a decrease in the statement of financial position items in USD terms.</w:t>
      </w:r>
    </w:p>
    <w:p w:rsidR="00297111" w:rsidRPr="00227C94" w:rsidRDefault="00297111" w:rsidP="00297111">
      <w:pPr>
        <w:pStyle w:val="23"/>
        <w:rPr>
          <w:color w:val="auto"/>
          <w:spacing w:val="-2"/>
          <w:lang w:val="en-US"/>
        </w:rPr>
      </w:pPr>
    </w:p>
    <w:p w:rsidR="00916675" w:rsidRPr="00227C94" w:rsidRDefault="00916675" w:rsidP="00297111">
      <w:pPr>
        <w:pStyle w:val="23"/>
        <w:rPr>
          <w:color w:val="auto"/>
          <w:lang w:val="en-US"/>
        </w:rPr>
      </w:pPr>
      <w:r w:rsidRPr="00227C94">
        <w:rPr>
          <w:color w:val="auto"/>
          <w:lang w:val="en-US"/>
        </w:rPr>
        <w:t>The Group is also exposed to KZT/USD exchange rate movements since the operating expenses of PGIL’s mining operations in Kazakhstan are incurred primarily in tenge.</w:t>
      </w:r>
    </w:p>
    <w:p w:rsidR="00916675" w:rsidRPr="00227C94" w:rsidRDefault="00916675" w:rsidP="00297111">
      <w:pPr>
        <w:pStyle w:val="22"/>
        <w:rPr>
          <w:lang w:val="en-US"/>
        </w:rPr>
      </w:pPr>
      <w:r w:rsidRPr="00227C94">
        <w:lastRenderedPageBreak/>
        <w:t>Summary of performance results</w:t>
      </w:r>
    </w:p>
    <w:p w:rsidR="00C93F0F" w:rsidRPr="00227C94" w:rsidRDefault="00C93F0F" w:rsidP="00C93F0F">
      <w:pPr>
        <w:pStyle w:val="23"/>
        <w:rPr>
          <w:color w:val="auto"/>
          <w:lang w:val="en-US"/>
        </w:rPr>
      </w:pPr>
    </w:p>
    <w:p w:rsidR="00916675" w:rsidRPr="00227C94" w:rsidRDefault="00916675" w:rsidP="00C93F0F">
      <w:pPr>
        <w:pStyle w:val="23"/>
        <w:rPr>
          <w:color w:val="auto"/>
          <w:lang w:val="en-US"/>
        </w:rPr>
      </w:pPr>
      <w:bookmarkStart w:id="70" w:name="_DV_M98"/>
      <w:bookmarkEnd w:id="70"/>
      <w:r w:rsidRPr="00227C94">
        <w:rPr>
          <w:color w:val="auto"/>
          <w:lang w:val="en-US"/>
        </w:rPr>
        <w:t>The following table shows the summary of performance results for the 6 months ended 30 June 2012 and 30 June 2011, and for the year ended 31 December 2011:</w:t>
      </w:r>
    </w:p>
    <w:p w:rsidR="00C93F0F" w:rsidRPr="00227C94" w:rsidRDefault="00C93F0F" w:rsidP="00C93F0F">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3308"/>
        <w:gridCol w:w="696"/>
        <w:gridCol w:w="1160"/>
        <w:gridCol w:w="97"/>
        <w:gridCol w:w="1160"/>
        <w:gridCol w:w="97"/>
        <w:gridCol w:w="1160"/>
        <w:gridCol w:w="97"/>
        <w:gridCol w:w="1160"/>
      </w:tblGrid>
      <w:tr w:rsidR="00C93F0F" w:rsidRPr="00227C94" w:rsidTr="00A701F4">
        <w:trPr>
          <w:cantSplit/>
        </w:trPr>
        <w:tc>
          <w:tcPr>
            <w:tcW w:w="3308" w:type="dxa"/>
            <w:tcBorders>
              <w:top w:val="nil"/>
              <w:left w:val="nil"/>
              <w:bottom w:val="nil"/>
              <w:right w:val="nil"/>
            </w:tcBorders>
          </w:tcPr>
          <w:p w:rsidR="00C93F0F" w:rsidRPr="00227C94" w:rsidRDefault="00C93F0F" w:rsidP="00C93F0F">
            <w:pPr>
              <w:pStyle w:val="tblHeaderText"/>
              <w:jc w:val="left"/>
              <w:rPr>
                <w:lang w:val="en-US"/>
              </w:rPr>
            </w:pPr>
          </w:p>
        </w:tc>
        <w:tc>
          <w:tcPr>
            <w:tcW w:w="696" w:type="dxa"/>
            <w:tcBorders>
              <w:top w:val="nil"/>
              <w:left w:val="nil"/>
              <w:bottom w:val="nil"/>
              <w:right w:val="nil"/>
            </w:tcBorders>
          </w:tcPr>
          <w:p w:rsidR="00C93F0F" w:rsidRPr="00227C94" w:rsidRDefault="00C93F0F" w:rsidP="00C93F0F">
            <w:pPr>
              <w:pStyle w:val="tblHeaderText"/>
              <w:rPr>
                <w:lang w:val="en-US"/>
              </w:rPr>
            </w:pPr>
          </w:p>
        </w:tc>
        <w:tc>
          <w:tcPr>
            <w:tcW w:w="2417" w:type="dxa"/>
            <w:gridSpan w:val="3"/>
            <w:tcBorders>
              <w:top w:val="nil"/>
              <w:left w:val="nil"/>
              <w:bottom w:val="single" w:sz="6" w:space="0" w:color="auto"/>
              <w:right w:val="nil"/>
            </w:tcBorders>
            <w:shd w:val="clear" w:color="auto" w:fill="auto"/>
            <w:vAlign w:val="bottom"/>
          </w:tcPr>
          <w:p w:rsidR="00C93F0F" w:rsidRPr="00227C94" w:rsidRDefault="00C93F0F" w:rsidP="00C93F0F">
            <w:pPr>
              <w:pStyle w:val="tblHeaderText"/>
            </w:pPr>
            <w:r w:rsidRPr="00227C94">
              <w:t>Six months ended 30 June</w:t>
            </w:r>
          </w:p>
        </w:tc>
        <w:tc>
          <w:tcPr>
            <w:tcW w:w="97" w:type="dxa"/>
            <w:tcBorders>
              <w:top w:val="nil"/>
              <w:left w:val="nil"/>
              <w:bottom w:val="nil"/>
              <w:right w:val="nil"/>
            </w:tcBorders>
            <w:vAlign w:val="bottom"/>
          </w:tcPr>
          <w:p w:rsidR="00C93F0F" w:rsidRPr="00227C94" w:rsidRDefault="00C93F0F" w:rsidP="00C93F0F">
            <w:pPr>
              <w:pStyle w:val="tblHeaderText"/>
            </w:pPr>
          </w:p>
        </w:tc>
        <w:tc>
          <w:tcPr>
            <w:tcW w:w="1160" w:type="dxa"/>
            <w:tcBorders>
              <w:top w:val="nil"/>
              <w:left w:val="nil"/>
              <w:right w:val="nil"/>
            </w:tcBorders>
            <w:vAlign w:val="bottom"/>
          </w:tcPr>
          <w:p w:rsidR="00EA241F" w:rsidRPr="00227C94" w:rsidRDefault="00C93F0F" w:rsidP="00C93F0F">
            <w:pPr>
              <w:pStyle w:val="tblHeaderText"/>
              <w:rPr>
                <w:lang w:val="en-US"/>
              </w:rPr>
            </w:pPr>
            <w:r w:rsidRPr="00227C94">
              <w:t xml:space="preserve">% </w:t>
            </w:r>
          </w:p>
          <w:p w:rsidR="00C93F0F" w:rsidRPr="00227C94" w:rsidRDefault="00C93F0F" w:rsidP="00C93F0F">
            <w:pPr>
              <w:pStyle w:val="tblHeaderText"/>
            </w:pPr>
            <w:r w:rsidRPr="00227C94">
              <w:t>change</w:t>
            </w:r>
          </w:p>
        </w:tc>
        <w:tc>
          <w:tcPr>
            <w:tcW w:w="97" w:type="dxa"/>
            <w:tcBorders>
              <w:top w:val="nil"/>
              <w:left w:val="nil"/>
              <w:bottom w:val="nil"/>
              <w:right w:val="nil"/>
            </w:tcBorders>
            <w:vAlign w:val="bottom"/>
          </w:tcPr>
          <w:p w:rsidR="00C93F0F" w:rsidRPr="00227C94" w:rsidRDefault="00C93F0F" w:rsidP="00C93F0F">
            <w:pPr>
              <w:pStyle w:val="tblHeaderText"/>
            </w:pPr>
          </w:p>
        </w:tc>
        <w:tc>
          <w:tcPr>
            <w:tcW w:w="1160" w:type="dxa"/>
            <w:tcBorders>
              <w:top w:val="nil"/>
              <w:left w:val="nil"/>
              <w:right w:val="nil"/>
            </w:tcBorders>
            <w:vAlign w:val="bottom"/>
          </w:tcPr>
          <w:p w:rsidR="00C93F0F" w:rsidRPr="00227C94" w:rsidRDefault="00C93F0F" w:rsidP="00C93F0F">
            <w:pPr>
              <w:pStyle w:val="tblHeaderText"/>
            </w:pPr>
            <w:r w:rsidRPr="00227C94">
              <w:t>Year ended</w:t>
            </w:r>
          </w:p>
          <w:p w:rsidR="00C93F0F" w:rsidRPr="00227C94" w:rsidRDefault="00C93F0F" w:rsidP="00C93F0F">
            <w:pPr>
              <w:pStyle w:val="tblHeaderText"/>
            </w:pPr>
            <w:r w:rsidRPr="00227C94">
              <w:t>31 December</w:t>
            </w:r>
          </w:p>
        </w:tc>
      </w:tr>
      <w:tr w:rsidR="00C93F0F" w:rsidRPr="00227C94" w:rsidTr="00A701F4">
        <w:trPr>
          <w:cantSplit/>
        </w:trPr>
        <w:tc>
          <w:tcPr>
            <w:tcW w:w="3308" w:type="dxa"/>
            <w:tcBorders>
              <w:top w:val="nil"/>
              <w:left w:val="nil"/>
              <w:bottom w:val="nil"/>
              <w:right w:val="nil"/>
            </w:tcBorders>
          </w:tcPr>
          <w:p w:rsidR="00C93F0F" w:rsidRPr="00227C94" w:rsidRDefault="00C93F0F" w:rsidP="00821069">
            <w:pPr>
              <w:pStyle w:val="tblHeaderText"/>
              <w:jc w:val="left"/>
            </w:pPr>
            <w:r w:rsidRPr="00227C94">
              <w:t>USD’000, unless specified otherwise</w:t>
            </w:r>
            <w:r w:rsidRPr="00227C94">
              <w:rPr>
                <w:spacing w:val="0"/>
                <w:vertAlign w:val="superscript"/>
              </w:rPr>
              <w:t>(1)</w:t>
            </w:r>
          </w:p>
        </w:tc>
        <w:tc>
          <w:tcPr>
            <w:tcW w:w="696" w:type="dxa"/>
            <w:tcBorders>
              <w:top w:val="nil"/>
              <w:left w:val="nil"/>
              <w:bottom w:val="nil"/>
              <w:right w:val="nil"/>
            </w:tcBorders>
          </w:tcPr>
          <w:p w:rsidR="00C93F0F" w:rsidRPr="00227C94" w:rsidRDefault="00C93F0F" w:rsidP="00821069">
            <w:pPr>
              <w:pStyle w:val="tblHeaderText"/>
            </w:pPr>
            <w:r w:rsidRPr="00227C94">
              <w:t>Note</w:t>
            </w:r>
          </w:p>
        </w:tc>
        <w:tc>
          <w:tcPr>
            <w:tcW w:w="1160" w:type="dxa"/>
            <w:tcBorders>
              <w:top w:val="single" w:sz="6" w:space="0" w:color="auto"/>
              <w:left w:val="nil"/>
              <w:bottom w:val="single" w:sz="6" w:space="0" w:color="auto"/>
              <w:right w:val="nil"/>
            </w:tcBorders>
            <w:shd w:val="clear" w:color="auto" w:fill="auto"/>
            <w:vAlign w:val="bottom"/>
          </w:tcPr>
          <w:p w:rsidR="00C93F0F" w:rsidRPr="00227C94" w:rsidRDefault="00C93F0F" w:rsidP="00821069">
            <w:pPr>
              <w:pStyle w:val="tblHeaderText"/>
            </w:pPr>
            <w:r w:rsidRPr="00227C94">
              <w:t>2012</w:t>
            </w:r>
          </w:p>
        </w:tc>
        <w:tc>
          <w:tcPr>
            <w:tcW w:w="97" w:type="dxa"/>
            <w:tcBorders>
              <w:top w:val="single" w:sz="6" w:space="0" w:color="auto"/>
              <w:left w:val="nil"/>
              <w:bottom w:val="nil"/>
              <w:right w:val="nil"/>
            </w:tcBorders>
            <w:shd w:val="clear" w:color="auto" w:fill="auto"/>
          </w:tcPr>
          <w:p w:rsidR="00C93F0F" w:rsidRPr="00227C94" w:rsidRDefault="00C93F0F" w:rsidP="00821069">
            <w:pPr>
              <w:pStyle w:val="tblHeaderText"/>
            </w:pPr>
          </w:p>
        </w:tc>
        <w:tc>
          <w:tcPr>
            <w:tcW w:w="1160" w:type="dxa"/>
            <w:tcBorders>
              <w:top w:val="single" w:sz="6" w:space="0" w:color="auto"/>
              <w:left w:val="nil"/>
              <w:bottom w:val="single" w:sz="6" w:space="0" w:color="auto"/>
              <w:right w:val="nil"/>
            </w:tcBorders>
            <w:shd w:val="clear" w:color="auto" w:fill="auto"/>
            <w:vAlign w:val="bottom"/>
          </w:tcPr>
          <w:p w:rsidR="00C93F0F" w:rsidRPr="00227C94" w:rsidRDefault="00C93F0F" w:rsidP="00821069">
            <w:pPr>
              <w:pStyle w:val="tblHeaderText"/>
            </w:pPr>
            <w:r w:rsidRPr="00227C94">
              <w:t>2011</w:t>
            </w:r>
          </w:p>
        </w:tc>
        <w:tc>
          <w:tcPr>
            <w:tcW w:w="97" w:type="dxa"/>
            <w:tcBorders>
              <w:top w:val="nil"/>
              <w:left w:val="nil"/>
              <w:right w:val="nil"/>
            </w:tcBorders>
          </w:tcPr>
          <w:p w:rsidR="00C93F0F" w:rsidRPr="00227C94" w:rsidRDefault="00C93F0F" w:rsidP="00821069">
            <w:pPr>
              <w:pStyle w:val="tblHeaderText"/>
            </w:pPr>
          </w:p>
        </w:tc>
        <w:tc>
          <w:tcPr>
            <w:tcW w:w="1160" w:type="dxa"/>
            <w:tcBorders>
              <w:top w:val="nil"/>
              <w:left w:val="nil"/>
              <w:bottom w:val="single" w:sz="6" w:space="0" w:color="auto"/>
              <w:right w:val="nil"/>
            </w:tcBorders>
            <w:shd w:val="clear" w:color="auto" w:fill="auto"/>
            <w:vAlign w:val="bottom"/>
          </w:tcPr>
          <w:p w:rsidR="00C93F0F" w:rsidRPr="00227C94" w:rsidRDefault="00C93F0F" w:rsidP="00821069">
            <w:pPr>
              <w:pStyle w:val="tblHeaderText"/>
            </w:pPr>
            <w:r w:rsidRPr="00227C94">
              <w:t>p-o-p</w:t>
            </w:r>
          </w:p>
        </w:tc>
        <w:tc>
          <w:tcPr>
            <w:tcW w:w="97" w:type="dxa"/>
            <w:tcBorders>
              <w:top w:val="nil"/>
              <w:left w:val="nil"/>
              <w:right w:val="nil"/>
            </w:tcBorders>
          </w:tcPr>
          <w:p w:rsidR="00C93F0F" w:rsidRPr="00227C94" w:rsidRDefault="00C93F0F" w:rsidP="00821069">
            <w:pPr>
              <w:pStyle w:val="tblHeaderText"/>
            </w:pPr>
          </w:p>
        </w:tc>
        <w:tc>
          <w:tcPr>
            <w:tcW w:w="1160" w:type="dxa"/>
            <w:tcBorders>
              <w:top w:val="nil"/>
              <w:left w:val="nil"/>
              <w:bottom w:val="single" w:sz="6" w:space="0" w:color="auto"/>
              <w:right w:val="nil"/>
            </w:tcBorders>
            <w:shd w:val="clear" w:color="auto" w:fill="auto"/>
            <w:vAlign w:val="bottom"/>
          </w:tcPr>
          <w:p w:rsidR="00C93F0F" w:rsidRPr="00227C94" w:rsidRDefault="00C93F0F" w:rsidP="00821069">
            <w:pPr>
              <w:pStyle w:val="tblHeaderText"/>
            </w:pPr>
            <w:r w:rsidRPr="00227C94">
              <w:t>2011</w:t>
            </w:r>
          </w:p>
        </w:tc>
      </w:tr>
      <w:tr w:rsidR="00C93F0F" w:rsidRPr="00227C94" w:rsidTr="00A701F4">
        <w:trPr>
          <w:cantSplit/>
        </w:trPr>
        <w:tc>
          <w:tcPr>
            <w:tcW w:w="3308" w:type="dxa"/>
            <w:tcBorders>
              <w:top w:val="nil"/>
              <w:left w:val="nil"/>
              <w:bottom w:val="nil"/>
              <w:right w:val="nil"/>
            </w:tcBorders>
          </w:tcPr>
          <w:p w:rsidR="00C93F0F" w:rsidRPr="00227C94" w:rsidRDefault="00C93F0F" w:rsidP="00C93F0F">
            <w:pPr>
              <w:pStyle w:val="tblHeaderText"/>
              <w:jc w:val="left"/>
            </w:pPr>
          </w:p>
        </w:tc>
        <w:tc>
          <w:tcPr>
            <w:tcW w:w="696" w:type="dxa"/>
            <w:tcBorders>
              <w:top w:val="nil"/>
              <w:left w:val="nil"/>
              <w:bottom w:val="nil"/>
              <w:right w:val="nil"/>
            </w:tcBorders>
          </w:tcPr>
          <w:p w:rsidR="00C93F0F" w:rsidRPr="00227C94" w:rsidRDefault="00C93F0F" w:rsidP="00C93F0F">
            <w:pPr>
              <w:pStyle w:val="tblHeaderText"/>
            </w:pPr>
          </w:p>
        </w:tc>
        <w:tc>
          <w:tcPr>
            <w:tcW w:w="1160" w:type="dxa"/>
            <w:tcBorders>
              <w:top w:val="single" w:sz="6" w:space="0" w:color="auto"/>
              <w:left w:val="nil"/>
              <w:bottom w:val="nil"/>
              <w:right w:val="nil"/>
            </w:tcBorders>
            <w:shd w:val="clear" w:color="auto" w:fill="auto"/>
            <w:vAlign w:val="bottom"/>
          </w:tcPr>
          <w:p w:rsidR="00C93F0F" w:rsidRPr="00227C94" w:rsidRDefault="00C93F0F" w:rsidP="00C93F0F">
            <w:pPr>
              <w:pStyle w:val="tblHeaderText"/>
            </w:pPr>
          </w:p>
        </w:tc>
        <w:tc>
          <w:tcPr>
            <w:tcW w:w="97" w:type="dxa"/>
            <w:tcBorders>
              <w:top w:val="nil"/>
              <w:left w:val="nil"/>
              <w:bottom w:val="nil"/>
              <w:right w:val="nil"/>
            </w:tcBorders>
          </w:tcPr>
          <w:p w:rsidR="00C93F0F" w:rsidRPr="00227C94" w:rsidRDefault="00C93F0F" w:rsidP="00C93F0F">
            <w:pPr>
              <w:pStyle w:val="tblHeaderText"/>
            </w:pPr>
          </w:p>
        </w:tc>
        <w:tc>
          <w:tcPr>
            <w:tcW w:w="1160" w:type="dxa"/>
            <w:tcBorders>
              <w:top w:val="single" w:sz="6" w:space="0" w:color="auto"/>
              <w:left w:val="nil"/>
              <w:bottom w:val="nil"/>
              <w:right w:val="nil"/>
            </w:tcBorders>
            <w:shd w:val="clear" w:color="auto" w:fill="auto"/>
            <w:vAlign w:val="bottom"/>
          </w:tcPr>
          <w:p w:rsidR="00C93F0F" w:rsidRPr="00227C94" w:rsidRDefault="00C93F0F" w:rsidP="00C93F0F">
            <w:pPr>
              <w:pStyle w:val="tblHeaderText"/>
            </w:pPr>
          </w:p>
        </w:tc>
        <w:tc>
          <w:tcPr>
            <w:tcW w:w="97" w:type="dxa"/>
            <w:tcBorders>
              <w:left w:val="nil"/>
              <w:bottom w:val="nil"/>
              <w:right w:val="nil"/>
            </w:tcBorders>
            <w:shd w:val="clear" w:color="auto" w:fill="auto"/>
          </w:tcPr>
          <w:p w:rsidR="00C93F0F" w:rsidRPr="00227C94" w:rsidRDefault="00C93F0F" w:rsidP="00C93F0F">
            <w:pPr>
              <w:pStyle w:val="tblHeaderText"/>
            </w:pPr>
          </w:p>
        </w:tc>
        <w:tc>
          <w:tcPr>
            <w:tcW w:w="1160" w:type="dxa"/>
            <w:tcBorders>
              <w:top w:val="single" w:sz="6" w:space="0" w:color="auto"/>
              <w:left w:val="nil"/>
              <w:bottom w:val="nil"/>
              <w:right w:val="nil"/>
            </w:tcBorders>
            <w:shd w:val="clear" w:color="auto" w:fill="auto"/>
            <w:vAlign w:val="bottom"/>
          </w:tcPr>
          <w:p w:rsidR="00C93F0F" w:rsidRPr="00227C94" w:rsidRDefault="00C93F0F" w:rsidP="00C93F0F">
            <w:pPr>
              <w:pStyle w:val="tblHeaderText"/>
            </w:pPr>
          </w:p>
        </w:tc>
        <w:tc>
          <w:tcPr>
            <w:tcW w:w="97" w:type="dxa"/>
            <w:tcBorders>
              <w:left w:val="nil"/>
              <w:bottom w:val="nil"/>
              <w:right w:val="nil"/>
            </w:tcBorders>
            <w:shd w:val="clear" w:color="auto" w:fill="auto"/>
          </w:tcPr>
          <w:p w:rsidR="00C93F0F" w:rsidRPr="00227C94" w:rsidRDefault="00C93F0F" w:rsidP="00C93F0F">
            <w:pPr>
              <w:pStyle w:val="tblHeaderText"/>
            </w:pPr>
          </w:p>
        </w:tc>
        <w:tc>
          <w:tcPr>
            <w:tcW w:w="1160" w:type="dxa"/>
            <w:tcBorders>
              <w:top w:val="single" w:sz="6" w:space="0" w:color="auto"/>
              <w:left w:val="nil"/>
              <w:bottom w:val="nil"/>
              <w:right w:val="nil"/>
            </w:tcBorders>
            <w:shd w:val="clear" w:color="auto" w:fill="auto"/>
            <w:vAlign w:val="bottom"/>
          </w:tcPr>
          <w:p w:rsidR="00C93F0F" w:rsidRPr="00227C94" w:rsidRDefault="00C93F0F" w:rsidP="00C93F0F">
            <w:pPr>
              <w:pStyle w:val="tblHeaderText"/>
            </w:pPr>
          </w:p>
        </w:tc>
      </w:tr>
      <w:tr w:rsidR="00C93F0F" w:rsidRPr="00227C94" w:rsidTr="00CD1DFC">
        <w:trPr>
          <w:cantSplit/>
        </w:trPr>
        <w:tc>
          <w:tcPr>
            <w:tcW w:w="3308" w:type="dxa"/>
            <w:tcBorders>
              <w:top w:val="nil"/>
              <w:left w:val="nil"/>
              <w:bottom w:val="nil"/>
              <w:right w:val="nil"/>
            </w:tcBorders>
            <w:vAlign w:val="center"/>
          </w:tcPr>
          <w:p w:rsidR="00C93F0F" w:rsidRPr="00227C94" w:rsidRDefault="00C93F0F" w:rsidP="00C93F0F">
            <w:pPr>
              <w:pStyle w:val="tblText05"/>
              <w:ind w:left="113"/>
              <w:rPr>
                <w:b/>
              </w:rPr>
            </w:pPr>
            <w:r w:rsidRPr="00227C94">
              <w:rPr>
                <w:b/>
              </w:rPr>
              <w:t>Gold sales</w:t>
            </w:r>
          </w:p>
        </w:tc>
        <w:tc>
          <w:tcPr>
            <w:tcW w:w="696" w:type="dxa"/>
            <w:tcBorders>
              <w:top w:val="nil"/>
              <w:left w:val="nil"/>
              <w:bottom w:val="nil"/>
              <w:right w:val="nil"/>
            </w:tcBorders>
            <w:vAlign w:val="bottom"/>
          </w:tcPr>
          <w:p w:rsidR="00C93F0F" w:rsidRPr="00227C94" w:rsidRDefault="00C93F0F" w:rsidP="00C93F0F">
            <w:pPr>
              <w:pStyle w:val="tblNumber01"/>
              <w:jc w:val="center"/>
              <w:rPr>
                <w:b/>
              </w:rPr>
            </w:pPr>
            <w:r w:rsidRPr="00227C94">
              <w:rPr>
                <w:b/>
              </w:rPr>
              <w:t>1.2</w:t>
            </w:r>
          </w:p>
        </w:tc>
        <w:tc>
          <w:tcPr>
            <w:tcW w:w="1160" w:type="dxa"/>
            <w:tcBorders>
              <w:top w:val="nil"/>
              <w:left w:val="nil"/>
              <w:right w:val="nil"/>
            </w:tcBorders>
            <w:vAlign w:val="bottom"/>
          </w:tcPr>
          <w:p w:rsidR="00C93F0F" w:rsidRPr="00227C94" w:rsidRDefault="00C93F0F" w:rsidP="00C93F0F">
            <w:pPr>
              <w:pStyle w:val="tblNumber01"/>
              <w:rPr>
                <w:b/>
              </w:rPr>
            </w:pPr>
            <w:r w:rsidRPr="00227C94">
              <w:rPr>
                <w:b/>
              </w:rPr>
              <w:t>1,223,866</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right w:val="nil"/>
            </w:tcBorders>
            <w:vAlign w:val="bottom"/>
          </w:tcPr>
          <w:p w:rsidR="00C93F0F" w:rsidRPr="00227C94" w:rsidRDefault="00C93F0F" w:rsidP="00C93F0F">
            <w:pPr>
              <w:pStyle w:val="tblNumber01"/>
              <w:rPr>
                <w:b/>
              </w:rPr>
            </w:pPr>
            <w:r w:rsidRPr="00227C94">
              <w:rPr>
                <w:b/>
              </w:rPr>
              <w:t>901,752</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right w:val="nil"/>
            </w:tcBorders>
            <w:vAlign w:val="bottom"/>
          </w:tcPr>
          <w:p w:rsidR="00C93F0F" w:rsidRPr="00227C94" w:rsidRDefault="00C93F0F" w:rsidP="00C93F0F">
            <w:pPr>
              <w:pStyle w:val="tblNumber01"/>
            </w:pPr>
            <w:r w:rsidRPr="00227C94">
              <w:t>36</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right w:val="nil"/>
            </w:tcBorders>
            <w:vAlign w:val="bottom"/>
          </w:tcPr>
          <w:p w:rsidR="00C93F0F" w:rsidRPr="00227C94" w:rsidRDefault="00C93F0F" w:rsidP="00C93F0F">
            <w:pPr>
              <w:pStyle w:val="tblNumber01"/>
              <w:rPr>
                <w:b/>
              </w:rPr>
            </w:pPr>
            <w:r w:rsidRPr="00227C94">
              <w:rPr>
                <w:b/>
              </w:rPr>
              <w:t>2,340,650</w:t>
            </w:r>
          </w:p>
        </w:tc>
      </w:tr>
      <w:tr w:rsidR="00C93F0F" w:rsidRPr="00227C94" w:rsidTr="00CD1DFC">
        <w:trPr>
          <w:cantSplit/>
        </w:trPr>
        <w:tc>
          <w:tcPr>
            <w:tcW w:w="3308" w:type="dxa"/>
            <w:tcBorders>
              <w:top w:val="nil"/>
              <w:left w:val="nil"/>
              <w:bottom w:val="nil"/>
              <w:right w:val="nil"/>
            </w:tcBorders>
            <w:vAlign w:val="center"/>
          </w:tcPr>
          <w:p w:rsidR="00C93F0F" w:rsidRPr="00227C94" w:rsidRDefault="00C93F0F" w:rsidP="00C93F0F">
            <w:pPr>
              <w:pStyle w:val="tblText05"/>
              <w:ind w:left="113"/>
            </w:pPr>
            <w:r w:rsidRPr="00227C94">
              <w:t>Other sales</w:t>
            </w:r>
          </w:p>
        </w:tc>
        <w:tc>
          <w:tcPr>
            <w:tcW w:w="696" w:type="dxa"/>
            <w:tcBorders>
              <w:top w:val="nil"/>
              <w:left w:val="nil"/>
              <w:bottom w:val="nil"/>
              <w:right w:val="nil"/>
            </w:tcBorders>
            <w:vAlign w:val="bottom"/>
          </w:tcPr>
          <w:p w:rsidR="00C93F0F" w:rsidRPr="00227C94" w:rsidRDefault="00C93F0F" w:rsidP="00C93F0F">
            <w:pPr>
              <w:pStyle w:val="tblNumber01"/>
              <w:jc w:val="center"/>
            </w:pPr>
            <w:r w:rsidRPr="00227C94">
              <w:t>1.2</w:t>
            </w:r>
          </w:p>
        </w:tc>
        <w:tc>
          <w:tcPr>
            <w:tcW w:w="1160" w:type="dxa"/>
            <w:tcBorders>
              <w:top w:val="nil"/>
              <w:left w:val="nil"/>
              <w:bottom w:val="single" w:sz="4" w:space="0" w:color="auto"/>
              <w:right w:val="nil"/>
            </w:tcBorders>
            <w:vAlign w:val="bottom"/>
          </w:tcPr>
          <w:p w:rsidR="00C93F0F" w:rsidRPr="00227C94" w:rsidRDefault="00C93F0F" w:rsidP="00C93F0F">
            <w:pPr>
              <w:pStyle w:val="tblNumber01"/>
            </w:pPr>
            <w:r w:rsidRPr="00227C94">
              <w:t>29,054</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single" w:sz="4" w:space="0" w:color="auto"/>
              <w:right w:val="nil"/>
            </w:tcBorders>
            <w:vAlign w:val="bottom"/>
          </w:tcPr>
          <w:p w:rsidR="00C93F0F" w:rsidRPr="00227C94" w:rsidRDefault="00C93F0F" w:rsidP="00C93F0F">
            <w:pPr>
              <w:pStyle w:val="tblNumber01"/>
            </w:pPr>
            <w:r w:rsidRPr="00227C94">
              <w:t>29,007</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single" w:sz="4" w:space="0" w:color="auto"/>
              <w:right w:val="nil"/>
            </w:tcBorders>
            <w:vAlign w:val="bottom"/>
          </w:tcPr>
          <w:p w:rsidR="00C93F0F" w:rsidRPr="00227C94" w:rsidRDefault="00C93F0F" w:rsidP="00C93F0F">
            <w:pPr>
              <w:pStyle w:val="tblNumber01"/>
            </w:pPr>
            <w:r w:rsidRPr="00227C94">
              <w:t>0</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single" w:sz="4" w:space="0" w:color="auto"/>
              <w:right w:val="nil"/>
            </w:tcBorders>
            <w:vAlign w:val="bottom"/>
          </w:tcPr>
          <w:p w:rsidR="00C93F0F" w:rsidRPr="00227C94" w:rsidRDefault="00C93F0F" w:rsidP="00C93F0F">
            <w:pPr>
              <w:pStyle w:val="tblNumber01"/>
            </w:pPr>
            <w:r w:rsidRPr="00227C94">
              <w:t>62,060</w:t>
            </w:r>
          </w:p>
        </w:tc>
      </w:tr>
      <w:tr w:rsidR="00C93F0F" w:rsidRPr="00227C94" w:rsidTr="00CD1DFC">
        <w:trPr>
          <w:cantSplit/>
        </w:trPr>
        <w:tc>
          <w:tcPr>
            <w:tcW w:w="3308" w:type="dxa"/>
            <w:tcBorders>
              <w:top w:val="nil"/>
              <w:left w:val="nil"/>
              <w:bottom w:val="nil"/>
              <w:right w:val="nil"/>
            </w:tcBorders>
            <w:vAlign w:val="center"/>
          </w:tcPr>
          <w:p w:rsidR="00C93F0F" w:rsidRPr="00227C94" w:rsidRDefault="00C93F0F" w:rsidP="00C93F0F">
            <w:pPr>
              <w:pStyle w:val="tblText05"/>
              <w:ind w:left="113"/>
              <w:rPr>
                <w:b/>
              </w:rPr>
            </w:pPr>
            <w:r w:rsidRPr="00227C94">
              <w:rPr>
                <w:b/>
              </w:rPr>
              <w:t>Total revenue</w:t>
            </w: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single" w:sz="4" w:space="0" w:color="auto"/>
              <w:left w:val="nil"/>
              <w:bottom w:val="nil"/>
              <w:right w:val="nil"/>
            </w:tcBorders>
            <w:vAlign w:val="bottom"/>
          </w:tcPr>
          <w:p w:rsidR="00C93F0F" w:rsidRPr="00227C94" w:rsidRDefault="00C93F0F" w:rsidP="00C93F0F">
            <w:pPr>
              <w:pStyle w:val="tblNumber01"/>
              <w:rPr>
                <w:b/>
              </w:rPr>
            </w:pPr>
            <w:r w:rsidRPr="00227C94">
              <w:rPr>
                <w:b/>
              </w:rPr>
              <w:t>1,252,920</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single" w:sz="4" w:space="0" w:color="auto"/>
              <w:left w:val="nil"/>
              <w:bottom w:val="nil"/>
              <w:right w:val="nil"/>
            </w:tcBorders>
            <w:vAlign w:val="bottom"/>
          </w:tcPr>
          <w:p w:rsidR="00C93F0F" w:rsidRPr="00227C94" w:rsidRDefault="00C93F0F" w:rsidP="00C93F0F">
            <w:pPr>
              <w:pStyle w:val="tblNumber01"/>
              <w:rPr>
                <w:b/>
              </w:rPr>
            </w:pPr>
            <w:r w:rsidRPr="00227C94">
              <w:rPr>
                <w:b/>
              </w:rPr>
              <w:t>930,759</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single" w:sz="4" w:space="0" w:color="auto"/>
              <w:left w:val="nil"/>
              <w:bottom w:val="nil"/>
              <w:right w:val="nil"/>
            </w:tcBorders>
            <w:vAlign w:val="bottom"/>
          </w:tcPr>
          <w:p w:rsidR="00C93F0F" w:rsidRPr="00227C94" w:rsidRDefault="00C93F0F" w:rsidP="00C93F0F">
            <w:pPr>
              <w:pStyle w:val="tblNumber01"/>
              <w:rPr>
                <w:b/>
              </w:rPr>
            </w:pPr>
            <w:r w:rsidRPr="00227C94">
              <w:rPr>
                <w:b/>
              </w:rPr>
              <w:t>35</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single" w:sz="4" w:space="0" w:color="auto"/>
              <w:left w:val="nil"/>
              <w:bottom w:val="nil"/>
              <w:right w:val="nil"/>
            </w:tcBorders>
            <w:vAlign w:val="bottom"/>
          </w:tcPr>
          <w:p w:rsidR="00C93F0F" w:rsidRPr="00227C94" w:rsidRDefault="00C93F0F" w:rsidP="00C93F0F">
            <w:pPr>
              <w:pStyle w:val="tblNumber01"/>
              <w:rPr>
                <w:b/>
              </w:rPr>
            </w:pPr>
            <w:r w:rsidRPr="00227C94">
              <w:rPr>
                <w:b/>
              </w:rPr>
              <w:t>2,402,710</w:t>
            </w: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2"/>
            </w:pP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r>
      <w:tr w:rsidR="00C93F0F" w:rsidRPr="00227C94" w:rsidTr="00CD1DFC">
        <w:trPr>
          <w:cantSplit/>
        </w:trPr>
        <w:tc>
          <w:tcPr>
            <w:tcW w:w="3308" w:type="dxa"/>
            <w:tcBorders>
              <w:top w:val="nil"/>
              <w:left w:val="nil"/>
              <w:bottom w:val="nil"/>
              <w:right w:val="nil"/>
            </w:tcBorders>
            <w:vAlign w:val="center"/>
          </w:tcPr>
          <w:p w:rsidR="00C93F0F" w:rsidRPr="00227C94" w:rsidRDefault="00C93F0F" w:rsidP="00C93F0F">
            <w:pPr>
              <w:pStyle w:val="tblText05"/>
              <w:ind w:left="113"/>
            </w:pPr>
            <w:r w:rsidRPr="00227C94">
              <w:t>Cost of gold sales</w:t>
            </w:r>
          </w:p>
        </w:tc>
        <w:tc>
          <w:tcPr>
            <w:tcW w:w="696" w:type="dxa"/>
            <w:tcBorders>
              <w:top w:val="nil"/>
              <w:left w:val="nil"/>
              <w:bottom w:val="nil"/>
              <w:right w:val="nil"/>
            </w:tcBorders>
            <w:vAlign w:val="bottom"/>
          </w:tcPr>
          <w:p w:rsidR="00C93F0F" w:rsidRPr="00227C94" w:rsidRDefault="00C93F0F" w:rsidP="00C93F0F">
            <w:pPr>
              <w:pStyle w:val="tblNumber01"/>
              <w:jc w:val="center"/>
            </w:pPr>
            <w:r w:rsidRPr="00227C94">
              <w:t>1.3</w:t>
            </w:r>
          </w:p>
        </w:tc>
        <w:tc>
          <w:tcPr>
            <w:tcW w:w="1160" w:type="dxa"/>
            <w:tcBorders>
              <w:top w:val="nil"/>
              <w:left w:val="nil"/>
              <w:right w:val="nil"/>
            </w:tcBorders>
            <w:vAlign w:val="bottom"/>
          </w:tcPr>
          <w:p w:rsidR="00C93F0F" w:rsidRPr="00227C94" w:rsidRDefault="00C93F0F" w:rsidP="00C93F0F">
            <w:pPr>
              <w:pStyle w:val="tblNumber00"/>
            </w:pPr>
            <w:r w:rsidRPr="00227C94">
              <w:t>(569,030)</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right w:val="nil"/>
            </w:tcBorders>
            <w:vAlign w:val="bottom"/>
          </w:tcPr>
          <w:p w:rsidR="00C93F0F" w:rsidRPr="00227C94" w:rsidRDefault="00C93F0F" w:rsidP="00C93F0F">
            <w:pPr>
              <w:pStyle w:val="tblNumber00"/>
            </w:pPr>
            <w:r w:rsidRPr="00227C94">
              <w:t>(478,053)</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right w:val="nil"/>
            </w:tcBorders>
            <w:vAlign w:val="bottom"/>
          </w:tcPr>
          <w:p w:rsidR="00C93F0F" w:rsidRPr="00227C94" w:rsidRDefault="00C93F0F" w:rsidP="00C93F0F">
            <w:pPr>
              <w:pStyle w:val="tblNumber01"/>
            </w:pPr>
            <w:r w:rsidRPr="00227C94">
              <w:t>19</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right w:val="nil"/>
            </w:tcBorders>
            <w:vAlign w:val="bottom"/>
          </w:tcPr>
          <w:p w:rsidR="00C93F0F" w:rsidRPr="00227C94" w:rsidRDefault="00C93F0F" w:rsidP="00C93F0F">
            <w:pPr>
              <w:pStyle w:val="tblNumber00"/>
            </w:pPr>
            <w:r w:rsidRPr="00227C94">
              <w:t>(1,162,019)</w:t>
            </w:r>
          </w:p>
        </w:tc>
      </w:tr>
      <w:tr w:rsidR="00C93F0F" w:rsidRPr="00227C94" w:rsidTr="00CD1DFC">
        <w:trPr>
          <w:cantSplit/>
        </w:trPr>
        <w:tc>
          <w:tcPr>
            <w:tcW w:w="3308" w:type="dxa"/>
            <w:tcBorders>
              <w:top w:val="nil"/>
              <w:left w:val="nil"/>
              <w:bottom w:val="nil"/>
              <w:right w:val="nil"/>
            </w:tcBorders>
            <w:vAlign w:val="center"/>
          </w:tcPr>
          <w:p w:rsidR="00C93F0F" w:rsidRPr="00227C94" w:rsidRDefault="00C93F0F" w:rsidP="00C93F0F">
            <w:pPr>
              <w:pStyle w:val="tblText05"/>
              <w:ind w:left="113"/>
            </w:pPr>
            <w:r w:rsidRPr="00227C94">
              <w:t>Cost of other sales</w:t>
            </w:r>
          </w:p>
        </w:tc>
        <w:tc>
          <w:tcPr>
            <w:tcW w:w="696" w:type="dxa"/>
            <w:tcBorders>
              <w:top w:val="nil"/>
              <w:left w:val="nil"/>
              <w:bottom w:val="nil"/>
              <w:right w:val="nil"/>
            </w:tcBorders>
            <w:vAlign w:val="bottom"/>
          </w:tcPr>
          <w:p w:rsidR="00C93F0F" w:rsidRPr="00227C94" w:rsidRDefault="00C93F0F" w:rsidP="00C93F0F">
            <w:pPr>
              <w:pStyle w:val="tblNumber01"/>
              <w:jc w:val="center"/>
            </w:pPr>
            <w:r w:rsidRPr="00227C94">
              <w:t>1.3</w:t>
            </w:r>
          </w:p>
        </w:tc>
        <w:tc>
          <w:tcPr>
            <w:tcW w:w="1160" w:type="dxa"/>
            <w:tcBorders>
              <w:top w:val="nil"/>
              <w:left w:val="nil"/>
              <w:bottom w:val="single" w:sz="4" w:space="0" w:color="auto"/>
              <w:right w:val="nil"/>
            </w:tcBorders>
            <w:vAlign w:val="bottom"/>
          </w:tcPr>
          <w:p w:rsidR="00C93F0F" w:rsidRPr="00227C94" w:rsidRDefault="00C93F0F" w:rsidP="00C93F0F">
            <w:pPr>
              <w:pStyle w:val="tblNumber00"/>
            </w:pPr>
            <w:r w:rsidRPr="00227C94">
              <w:t>(21,232)</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single" w:sz="4" w:space="0" w:color="auto"/>
              <w:right w:val="nil"/>
            </w:tcBorders>
            <w:vAlign w:val="bottom"/>
          </w:tcPr>
          <w:p w:rsidR="00C93F0F" w:rsidRPr="00227C94" w:rsidRDefault="00C93F0F" w:rsidP="00C93F0F">
            <w:pPr>
              <w:pStyle w:val="tblNumber00"/>
            </w:pPr>
            <w:r w:rsidRPr="00227C94">
              <w:t>(23,223)</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single" w:sz="4" w:space="0" w:color="auto"/>
              <w:right w:val="nil"/>
            </w:tcBorders>
            <w:vAlign w:val="bottom"/>
          </w:tcPr>
          <w:p w:rsidR="00C93F0F" w:rsidRPr="00227C94" w:rsidRDefault="00C93F0F" w:rsidP="00C93F0F">
            <w:pPr>
              <w:pStyle w:val="tblNumber00"/>
            </w:pPr>
            <w:r w:rsidRPr="00227C94">
              <w:t>(9)</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single" w:sz="4" w:space="0" w:color="auto"/>
              <w:right w:val="nil"/>
            </w:tcBorders>
            <w:vAlign w:val="bottom"/>
          </w:tcPr>
          <w:p w:rsidR="00C93F0F" w:rsidRPr="00227C94" w:rsidRDefault="00C93F0F" w:rsidP="00C93F0F">
            <w:pPr>
              <w:pStyle w:val="tblNumber00"/>
            </w:pPr>
            <w:r w:rsidRPr="00227C94">
              <w:t>(46,343)</w:t>
            </w:r>
          </w:p>
        </w:tc>
      </w:tr>
      <w:tr w:rsidR="00C93F0F" w:rsidRPr="00227C94" w:rsidTr="00CD1DFC">
        <w:trPr>
          <w:cantSplit/>
        </w:trPr>
        <w:tc>
          <w:tcPr>
            <w:tcW w:w="3308" w:type="dxa"/>
            <w:tcBorders>
              <w:top w:val="nil"/>
              <w:left w:val="nil"/>
              <w:bottom w:val="nil"/>
              <w:right w:val="nil"/>
            </w:tcBorders>
            <w:vAlign w:val="center"/>
          </w:tcPr>
          <w:p w:rsidR="00C93F0F" w:rsidRPr="00227C94" w:rsidRDefault="00C93F0F" w:rsidP="00C93F0F">
            <w:pPr>
              <w:pStyle w:val="tblText05"/>
              <w:ind w:left="113"/>
              <w:rPr>
                <w:b/>
              </w:rPr>
            </w:pPr>
            <w:r w:rsidRPr="00227C94">
              <w:rPr>
                <w:b/>
              </w:rPr>
              <w:t>Gross profit</w:t>
            </w: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single" w:sz="4" w:space="0" w:color="auto"/>
              <w:left w:val="nil"/>
              <w:bottom w:val="nil"/>
              <w:right w:val="nil"/>
            </w:tcBorders>
            <w:vAlign w:val="bottom"/>
          </w:tcPr>
          <w:p w:rsidR="00C93F0F" w:rsidRPr="00227C94" w:rsidRDefault="00C93F0F" w:rsidP="00C93F0F">
            <w:pPr>
              <w:pStyle w:val="tblNumber01"/>
              <w:rPr>
                <w:b/>
              </w:rPr>
            </w:pPr>
            <w:r w:rsidRPr="00227C94">
              <w:rPr>
                <w:b/>
              </w:rPr>
              <w:t>662,658</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single" w:sz="4" w:space="0" w:color="auto"/>
              <w:left w:val="nil"/>
              <w:bottom w:val="nil"/>
              <w:right w:val="nil"/>
            </w:tcBorders>
            <w:vAlign w:val="bottom"/>
          </w:tcPr>
          <w:p w:rsidR="00C93F0F" w:rsidRPr="00227C94" w:rsidRDefault="00C93F0F" w:rsidP="00C93F0F">
            <w:pPr>
              <w:pStyle w:val="tblNumber01"/>
              <w:rPr>
                <w:b/>
              </w:rPr>
            </w:pPr>
            <w:r w:rsidRPr="00227C94">
              <w:rPr>
                <w:b/>
              </w:rPr>
              <w:t>429,483</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single" w:sz="4" w:space="0" w:color="auto"/>
              <w:left w:val="nil"/>
              <w:bottom w:val="nil"/>
              <w:right w:val="nil"/>
            </w:tcBorders>
            <w:vAlign w:val="bottom"/>
          </w:tcPr>
          <w:p w:rsidR="00C93F0F" w:rsidRPr="00227C94" w:rsidRDefault="00C93F0F" w:rsidP="00C93F0F">
            <w:pPr>
              <w:pStyle w:val="tblNumber01"/>
              <w:rPr>
                <w:b/>
              </w:rPr>
            </w:pPr>
            <w:r w:rsidRPr="00227C94">
              <w:rPr>
                <w:b/>
              </w:rPr>
              <w:t>54</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single" w:sz="4" w:space="0" w:color="auto"/>
              <w:left w:val="nil"/>
              <w:bottom w:val="nil"/>
              <w:right w:val="nil"/>
            </w:tcBorders>
            <w:vAlign w:val="bottom"/>
          </w:tcPr>
          <w:p w:rsidR="00C93F0F" w:rsidRPr="00227C94" w:rsidRDefault="00C93F0F" w:rsidP="00C93F0F">
            <w:pPr>
              <w:pStyle w:val="tblNumber01"/>
              <w:rPr>
                <w:b/>
              </w:rPr>
            </w:pPr>
            <w:r w:rsidRPr="00227C94">
              <w:rPr>
                <w:b/>
              </w:rPr>
              <w:t>1,194,348</w:t>
            </w: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5"/>
              <w:ind w:left="113"/>
            </w:pPr>
            <w:r w:rsidRPr="00227C94">
              <w:t>including:</w:t>
            </w: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5"/>
              <w:ind w:left="113"/>
              <w:rPr>
                <w:lang w:val="en-US"/>
              </w:rPr>
            </w:pPr>
            <w:r w:rsidRPr="00227C94">
              <w:rPr>
                <w:lang w:val="en-US"/>
              </w:rPr>
              <w:t>Gross profit on gold sales</w:t>
            </w:r>
          </w:p>
        </w:tc>
        <w:tc>
          <w:tcPr>
            <w:tcW w:w="696" w:type="dxa"/>
            <w:tcBorders>
              <w:top w:val="nil"/>
              <w:left w:val="nil"/>
              <w:bottom w:val="nil"/>
              <w:right w:val="nil"/>
            </w:tcBorders>
            <w:vAlign w:val="bottom"/>
          </w:tcPr>
          <w:p w:rsidR="00C93F0F" w:rsidRPr="00227C94" w:rsidRDefault="00C93F0F" w:rsidP="00C93F0F">
            <w:pPr>
              <w:pStyle w:val="tblNumber01"/>
              <w:jc w:val="center"/>
              <w:rPr>
                <w:lang w:val="en-US"/>
              </w:rPr>
            </w:pPr>
          </w:p>
        </w:tc>
        <w:tc>
          <w:tcPr>
            <w:tcW w:w="1160" w:type="dxa"/>
            <w:tcBorders>
              <w:top w:val="nil"/>
              <w:left w:val="nil"/>
              <w:bottom w:val="nil"/>
              <w:right w:val="nil"/>
            </w:tcBorders>
            <w:vAlign w:val="bottom"/>
          </w:tcPr>
          <w:p w:rsidR="00C93F0F" w:rsidRPr="00227C94" w:rsidRDefault="00C93F0F" w:rsidP="00C93F0F">
            <w:pPr>
              <w:pStyle w:val="tblNumber01"/>
            </w:pPr>
            <w:r w:rsidRPr="00227C94">
              <w:t>654,836</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r w:rsidRPr="00227C94">
              <w:t>423,699</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r w:rsidRPr="00227C94">
              <w:t>55</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r w:rsidRPr="00227C94">
              <w:t>1,178,631,</w:t>
            </w: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2"/>
            </w:pP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5"/>
              <w:ind w:left="113"/>
              <w:rPr>
                <w:i/>
              </w:rPr>
            </w:pPr>
            <w:r w:rsidRPr="00227C94">
              <w:rPr>
                <w:i/>
              </w:rPr>
              <w:t>Gross profit margin</w:t>
            </w: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nil"/>
              <w:left w:val="nil"/>
              <w:bottom w:val="nil"/>
              <w:right w:val="nil"/>
            </w:tcBorders>
            <w:vAlign w:val="bottom"/>
          </w:tcPr>
          <w:p w:rsidR="00C93F0F" w:rsidRPr="00227C94" w:rsidRDefault="00C93F0F" w:rsidP="00C93F0F">
            <w:pPr>
              <w:pStyle w:val="tblNumber01"/>
              <w:rPr>
                <w:i/>
              </w:rPr>
            </w:pPr>
            <w:r w:rsidRPr="00227C94">
              <w:rPr>
                <w:i/>
              </w:rPr>
              <w:t>53%</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rPr>
                <w:i/>
              </w:rPr>
            </w:pPr>
            <w:r w:rsidRPr="00227C94">
              <w:rPr>
                <w:i/>
              </w:rPr>
              <w:t>46%</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Dash"/>
              <w:rPr>
                <w:i/>
              </w:rPr>
            </w:pPr>
            <w:r w:rsidRPr="00227C94">
              <w:rPr>
                <w:i/>
              </w:rPr>
              <w:t>-</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rPr>
                <w:i/>
              </w:rPr>
            </w:pPr>
            <w:r w:rsidRPr="00227C94">
              <w:rPr>
                <w:i/>
              </w:rPr>
              <w:t>50%</w:t>
            </w: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2"/>
            </w:pP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5"/>
              <w:ind w:left="113"/>
              <w:rPr>
                <w:lang w:val="en-US"/>
              </w:rPr>
            </w:pPr>
            <w:r w:rsidRPr="00227C94">
              <w:rPr>
                <w:lang w:val="en-US"/>
              </w:rPr>
              <w:t>Selling, general and administrative expenses</w:t>
            </w:r>
          </w:p>
        </w:tc>
        <w:tc>
          <w:tcPr>
            <w:tcW w:w="696" w:type="dxa"/>
            <w:tcBorders>
              <w:top w:val="nil"/>
              <w:left w:val="nil"/>
              <w:bottom w:val="nil"/>
              <w:right w:val="nil"/>
            </w:tcBorders>
            <w:vAlign w:val="bottom"/>
          </w:tcPr>
          <w:p w:rsidR="00C93F0F" w:rsidRPr="00227C94" w:rsidRDefault="00C93F0F" w:rsidP="00C93F0F">
            <w:pPr>
              <w:pStyle w:val="tblNumber01"/>
              <w:jc w:val="center"/>
            </w:pPr>
            <w:r w:rsidRPr="00227C94">
              <w:t>1.4</w:t>
            </w:r>
          </w:p>
        </w:tc>
        <w:tc>
          <w:tcPr>
            <w:tcW w:w="1160" w:type="dxa"/>
            <w:tcBorders>
              <w:top w:val="nil"/>
              <w:left w:val="nil"/>
              <w:bottom w:val="nil"/>
              <w:right w:val="nil"/>
            </w:tcBorders>
            <w:vAlign w:val="bottom"/>
          </w:tcPr>
          <w:p w:rsidR="00C93F0F" w:rsidRPr="00227C94" w:rsidRDefault="00C93F0F" w:rsidP="00C93F0F">
            <w:pPr>
              <w:pStyle w:val="tblNumber00"/>
            </w:pPr>
            <w:r w:rsidRPr="00227C94">
              <w:t>(110,240)</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0"/>
            </w:pPr>
            <w:r w:rsidRPr="00227C94">
              <w:t>(93,462)</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r w:rsidRPr="00227C94">
              <w:t>18</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0"/>
            </w:pPr>
            <w:r w:rsidRPr="00227C94">
              <w:t>(225,618)</w:t>
            </w: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5"/>
              <w:ind w:left="113"/>
            </w:pPr>
            <w:r w:rsidRPr="00227C94">
              <w:t>Impairment</w:t>
            </w:r>
          </w:p>
        </w:tc>
        <w:tc>
          <w:tcPr>
            <w:tcW w:w="696" w:type="dxa"/>
            <w:tcBorders>
              <w:top w:val="nil"/>
              <w:left w:val="nil"/>
              <w:bottom w:val="nil"/>
              <w:right w:val="nil"/>
            </w:tcBorders>
            <w:vAlign w:val="bottom"/>
          </w:tcPr>
          <w:p w:rsidR="00C93F0F" w:rsidRPr="00227C94" w:rsidRDefault="00C93F0F" w:rsidP="00C93F0F">
            <w:pPr>
              <w:pStyle w:val="tblNumber01"/>
              <w:jc w:val="center"/>
            </w:pPr>
            <w:r w:rsidRPr="00227C94">
              <w:t>1.5</w:t>
            </w:r>
          </w:p>
        </w:tc>
        <w:tc>
          <w:tcPr>
            <w:tcW w:w="1160" w:type="dxa"/>
            <w:tcBorders>
              <w:top w:val="nil"/>
              <w:left w:val="nil"/>
              <w:bottom w:val="nil"/>
              <w:right w:val="nil"/>
            </w:tcBorders>
            <w:vAlign w:val="bottom"/>
          </w:tcPr>
          <w:p w:rsidR="00C93F0F" w:rsidRPr="00227C94" w:rsidRDefault="00C93F0F" w:rsidP="00C93F0F">
            <w:pPr>
              <w:pStyle w:val="tblNumber00"/>
            </w:pPr>
            <w:r w:rsidRPr="00227C94">
              <w:t>(17,559)</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0"/>
            </w:pPr>
            <w:r w:rsidRPr="00227C94">
              <w:t>(48,625)</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0"/>
            </w:pPr>
            <w:r w:rsidRPr="00227C94">
              <w:t>(64)</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0"/>
            </w:pPr>
            <w:r w:rsidRPr="00227C94">
              <w:t>(103,418)</w:t>
            </w: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5"/>
              <w:ind w:left="113"/>
              <w:rPr>
                <w:lang w:val="en-US"/>
              </w:rPr>
            </w:pPr>
            <w:r w:rsidRPr="00227C94">
              <w:rPr>
                <w:lang w:val="en-US"/>
              </w:rPr>
              <w:t>Gain on disposal of subsidiaries</w:t>
            </w:r>
          </w:p>
        </w:tc>
        <w:tc>
          <w:tcPr>
            <w:tcW w:w="696" w:type="dxa"/>
            <w:tcBorders>
              <w:top w:val="nil"/>
              <w:left w:val="nil"/>
              <w:bottom w:val="nil"/>
              <w:right w:val="nil"/>
            </w:tcBorders>
            <w:vAlign w:val="bottom"/>
          </w:tcPr>
          <w:p w:rsidR="00C93F0F" w:rsidRPr="00227C94" w:rsidRDefault="00C93F0F" w:rsidP="00C93F0F">
            <w:pPr>
              <w:pStyle w:val="tblNumber01"/>
              <w:jc w:val="center"/>
            </w:pPr>
            <w:r w:rsidRPr="00227C94">
              <w:t>1.6</w:t>
            </w:r>
          </w:p>
        </w:tc>
        <w:tc>
          <w:tcPr>
            <w:tcW w:w="1160" w:type="dxa"/>
            <w:tcBorders>
              <w:top w:val="nil"/>
              <w:left w:val="nil"/>
              <w:bottom w:val="nil"/>
              <w:right w:val="nil"/>
            </w:tcBorders>
            <w:vAlign w:val="bottom"/>
          </w:tcPr>
          <w:p w:rsidR="00C93F0F" w:rsidRPr="00227C94" w:rsidRDefault="00C93F0F" w:rsidP="00C93F0F">
            <w:pPr>
              <w:pStyle w:val="tblNumber01"/>
            </w:pPr>
            <w:r w:rsidRPr="00227C94">
              <w:t>6,268</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Dash"/>
            </w:pPr>
            <w:r w:rsidRPr="00227C94">
              <w:t>-</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Dash"/>
            </w:pPr>
            <w:r w:rsidRPr="00227C94">
              <w:t>-</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Dash"/>
            </w:pPr>
            <w:r w:rsidRPr="00227C94">
              <w:t>-</w:t>
            </w:r>
          </w:p>
        </w:tc>
      </w:tr>
      <w:tr w:rsidR="00C93F0F" w:rsidRPr="00227C94" w:rsidTr="00007AA3">
        <w:trPr>
          <w:cantSplit/>
        </w:trPr>
        <w:tc>
          <w:tcPr>
            <w:tcW w:w="3308" w:type="dxa"/>
            <w:tcBorders>
              <w:top w:val="nil"/>
              <w:left w:val="nil"/>
              <w:bottom w:val="nil"/>
              <w:right w:val="nil"/>
            </w:tcBorders>
            <w:vAlign w:val="center"/>
          </w:tcPr>
          <w:p w:rsidR="00C93F0F" w:rsidRPr="00227C94" w:rsidRDefault="00C93F0F" w:rsidP="00C93F0F">
            <w:pPr>
              <w:pStyle w:val="tblText05"/>
              <w:ind w:left="113"/>
            </w:pPr>
            <w:r w:rsidRPr="00227C94">
              <w:t>Research expenses</w:t>
            </w: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nil"/>
              <w:left w:val="nil"/>
              <w:right w:val="nil"/>
            </w:tcBorders>
            <w:vAlign w:val="bottom"/>
          </w:tcPr>
          <w:p w:rsidR="00C93F0F" w:rsidRPr="00227C94" w:rsidRDefault="00C93F0F" w:rsidP="00C93F0F">
            <w:pPr>
              <w:pStyle w:val="tblNumber00"/>
            </w:pPr>
            <w:r w:rsidRPr="00227C94">
              <w:t>(1,284)</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right w:val="nil"/>
            </w:tcBorders>
            <w:vAlign w:val="bottom"/>
          </w:tcPr>
          <w:p w:rsidR="00C93F0F" w:rsidRPr="00227C94" w:rsidRDefault="00C93F0F" w:rsidP="00C93F0F">
            <w:pPr>
              <w:pStyle w:val="tblNumber00"/>
            </w:pPr>
            <w:r w:rsidRPr="00227C94">
              <w:t>(1,255)</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right w:val="nil"/>
            </w:tcBorders>
            <w:vAlign w:val="bottom"/>
          </w:tcPr>
          <w:p w:rsidR="00C93F0F" w:rsidRPr="00227C94" w:rsidRDefault="00C93F0F" w:rsidP="00C93F0F">
            <w:pPr>
              <w:pStyle w:val="tblNumber01"/>
            </w:pPr>
            <w:r w:rsidRPr="00227C94">
              <w:t>2</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right w:val="nil"/>
            </w:tcBorders>
            <w:vAlign w:val="bottom"/>
          </w:tcPr>
          <w:p w:rsidR="00C93F0F" w:rsidRPr="00227C94" w:rsidRDefault="00C93F0F" w:rsidP="00C93F0F">
            <w:pPr>
              <w:pStyle w:val="tblNumber00"/>
            </w:pPr>
            <w:r w:rsidRPr="00227C94">
              <w:t>(2,581)</w:t>
            </w:r>
          </w:p>
        </w:tc>
      </w:tr>
      <w:tr w:rsidR="00C93F0F" w:rsidRPr="00227C94" w:rsidTr="00007AA3">
        <w:trPr>
          <w:cantSplit/>
        </w:trPr>
        <w:tc>
          <w:tcPr>
            <w:tcW w:w="3308" w:type="dxa"/>
            <w:tcBorders>
              <w:top w:val="nil"/>
              <w:left w:val="nil"/>
              <w:bottom w:val="nil"/>
              <w:right w:val="nil"/>
            </w:tcBorders>
            <w:vAlign w:val="center"/>
          </w:tcPr>
          <w:p w:rsidR="00C93F0F" w:rsidRPr="00227C94" w:rsidRDefault="00C93F0F" w:rsidP="00C93F0F">
            <w:pPr>
              <w:pStyle w:val="tblText05"/>
              <w:ind w:left="113"/>
            </w:pPr>
            <w:r w:rsidRPr="00227C94">
              <w:t>Other expenses, net</w:t>
            </w: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nil"/>
              <w:left w:val="nil"/>
              <w:bottom w:val="single" w:sz="4" w:space="0" w:color="auto"/>
              <w:right w:val="nil"/>
            </w:tcBorders>
            <w:vAlign w:val="bottom"/>
          </w:tcPr>
          <w:p w:rsidR="00C93F0F" w:rsidRPr="00227C94" w:rsidRDefault="00C93F0F" w:rsidP="00C93F0F">
            <w:pPr>
              <w:pStyle w:val="tblNumber00"/>
            </w:pPr>
            <w:r w:rsidRPr="00227C94">
              <w:t>(5,550)</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single" w:sz="4" w:space="0" w:color="auto"/>
              <w:right w:val="nil"/>
            </w:tcBorders>
            <w:vAlign w:val="bottom"/>
          </w:tcPr>
          <w:p w:rsidR="00C93F0F" w:rsidRPr="00227C94" w:rsidRDefault="00C93F0F" w:rsidP="00C93F0F">
            <w:pPr>
              <w:pStyle w:val="tblNumber00"/>
            </w:pPr>
            <w:r w:rsidRPr="00227C94">
              <w:t>(6,510)</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single" w:sz="4" w:space="0" w:color="auto"/>
              <w:right w:val="nil"/>
            </w:tcBorders>
            <w:vAlign w:val="bottom"/>
          </w:tcPr>
          <w:p w:rsidR="00C93F0F" w:rsidRPr="00227C94" w:rsidRDefault="00C93F0F" w:rsidP="00C93F0F">
            <w:pPr>
              <w:pStyle w:val="tblNumber00"/>
            </w:pPr>
            <w:r w:rsidRPr="00227C94">
              <w:t>(15)</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single" w:sz="4" w:space="0" w:color="auto"/>
              <w:right w:val="nil"/>
            </w:tcBorders>
            <w:vAlign w:val="bottom"/>
          </w:tcPr>
          <w:p w:rsidR="00C93F0F" w:rsidRPr="00227C94" w:rsidRDefault="00C93F0F" w:rsidP="00C93F0F">
            <w:pPr>
              <w:pStyle w:val="tblNumber00"/>
            </w:pPr>
            <w:r w:rsidRPr="00227C94">
              <w:t>(24,077)</w:t>
            </w:r>
          </w:p>
        </w:tc>
      </w:tr>
      <w:tr w:rsidR="00C93F0F" w:rsidRPr="00227C94" w:rsidTr="00007AA3">
        <w:trPr>
          <w:cantSplit/>
        </w:trPr>
        <w:tc>
          <w:tcPr>
            <w:tcW w:w="3308" w:type="dxa"/>
            <w:tcBorders>
              <w:top w:val="nil"/>
              <w:left w:val="nil"/>
              <w:bottom w:val="nil"/>
              <w:right w:val="nil"/>
            </w:tcBorders>
            <w:vAlign w:val="center"/>
          </w:tcPr>
          <w:p w:rsidR="00C93F0F" w:rsidRPr="00227C94" w:rsidRDefault="00C93F0F" w:rsidP="00C93F0F">
            <w:pPr>
              <w:pStyle w:val="tblText05"/>
              <w:ind w:left="113"/>
              <w:rPr>
                <w:b/>
              </w:rPr>
            </w:pPr>
            <w:r w:rsidRPr="00227C94">
              <w:rPr>
                <w:b/>
              </w:rPr>
              <w:t>Operating profit</w:t>
            </w: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single" w:sz="4" w:space="0" w:color="auto"/>
              <w:left w:val="nil"/>
              <w:bottom w:val="nil"/>
              <w:right w:val="nil"/>
            </w:tcBorders>
            <w:vAlign w:val="bottom"/>
          </w:tcPr>
          <w:p w:rsidR="00C93F0F" w:rsidRPr="00227C94" w:rsidRDefault="00C93F0F" w:rsidP="00C93F0F">
            <w:pPr>
              <w:pStyle w:val="tblNumber01"/>
              <w:rPr>
                <w:b/>
              </w:rPr>
            </w:pPr>
            <w:r w:rsidRPr="00227C94">
              <w:rPr>
                <w:b/>
              </w:rPr>
              <w:t>534,293</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single" w:sz="4" w:space="0" w:color="auto"/>
              <w:left w:val="nil"/>
              <w:bottom w:val="nil"/>
              <w:right w:val="nil"/>
            </w:tcBorders>
            <w:vAlign w:val="bottom"/>
          </w:tcPr>
          <w:p w:rsidR="00C93F0F" w:rsidRPr="00227C94" w:rsidRDefault="00C93F0F" w:rsidP="00C93F0F">
            <w:pPr>
              <w:pStyle w:val="tblNumber01"/>
              <w:rPr>
                <w:b/>
              </w:rPr>
            </w:pPr>
            <w:r w:rsidRPr="00227C94">
              <w:rPr>
                <w:b/>
              </w:rPr>
              <w:t>279,631</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single" w:sz="4" w:space="0" w:color="auto"/>
              <w:left w:val="nil"/>
              <w:bottom w:val="nil"/>
              <w:right w:val="nil"/>
            </w:tcBorders>
            <w:vAlign w:val="bottom"/>
          </w:tcPr>
          <w:p w:rsidR="00C93F0F" w:rsidRPr="00227C94" w:rsidRDefault="00C93F0F" w:rsidP="00C93F0F">
            <w:pPr>
              <w:pStyle w:val="tblNumber01"/>
              <w:rPr>
                <w:b/>
              </w:rPr>
            </w:pPr>
            <w:r w:rsidRPr="00227C94">
              <w:rPr>
                <w:b/>
              </w:rPr>
              <w:t>91</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single" w:sz="4" w:space="0" w:color="auto"/>
              <w:left w:val="nil"/>
              <w:bottom w:val="nil"/>
              <w:right w:val="nil"/>
            </w:tcBorders>
            <w:vAlign w:val="bottom"/>
          </w:tcPr>
          <w:p w:rsidR="00C93F0F" w:rsidRPr="00227C94" w:rsidRDefault="00C93F0F" w:rsidP="00C93F0F">
            <w:pPr>
              <w:pStyle w:val="tblNumber01"/>
              <w:rPr>
                <w:b/>
              </w:rPr>
            </w:pPr>
            <w:r w:rsidRPr="00227C94">
              <w:rPr>
                <w:b/>
              </w:rPr>
              <w:t>838,654</w:t>
            </w: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2"/>
            </w:pP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5"/>
              <w:ind w:left="113"/>
              <w:rPr>
                <w:i/>
              </w:rPr>
            </w:pPr>
            <w:r w:rsidRPr="00227C94">
              <w:rPr>
                <w:i/>
              </w:rPr>
              <w:t>Operating profit margin</w:t>
            </w: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nil"/>
              <w:left w:val="nil"/>
              <w:bottom w:val="nil"/>
              <w:right w:val="nil"/>
            </w:tcBorders>
            <w:vAlign w:val="bottom"/>
          </w:tcPr>
          <w:p w:rsidR="00C93F0F" w:rsidRPr="00227C94" w:rsidRDefault="00C93F0F" w:rsidP="00C93F0F">
            <w:pPr>
              <w:pStyle w:val="tblNumber01"/>
              <w:rPr>
                <w:i/>
              </w:rPr>
            </w:pPr>
            <w:r w:rsidRPr="00227C94">
              <w:rPr>
                <w:i/>
              </w:rPr>
              <w:t>43%</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rPr>
                <w:i/>
              </w:rPr>
            </w:pPr>
            <w:r w:rsidRPr="00227C94">
              <w:rPr>
                <w:i/>
              </w:rPr>
              <w:t>30%</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Dash"/>
              <w:rPr>
                <w:i/>
              </w:rPr>
            </w:pPr>
            <w:r w:rsidRPr="00227C94">
              <w:rPr>
                <w:i/>
              </w:rPr>
              <w:t>-</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rPr>
                <w:i/>
              </w:rPr>
            </w:pPr>
            <w:r w:rsidRPr="00227C94">
              <w:rPr>
                <w:i/>
              </w:rPr>
              <w:t>35%</w:t>
            </w: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2"/>
            </w:pP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5"/>
              <w:ind w:left="113"/>
            </w:pPr>
            <w:r w:rsidRPr="00227C94">
              <w:t>Finance costs</w:t>
            </w:r>
          </w:p>
        </w:tc>
        <w:tc>
          <w:tcPr>
            <w:tcW w:w="696" w:type="dxa"/>
            <w:tcBorders>
              <w:top w:val="nil"/>
              <w:left w:val="nil"/>
              <w:bottom w:val="nil"/>
              <w:right w:val="nil"/>
            </w:tcBorders>
            <w:vAlign w:val="bottom"/>
          </w:tcPr>
          <w:p w:rsidR="00C93F0F" w:rsidRPr="00227C94" w:rsidRDefault="00C93F0F" w:rsidP="00C93F0F">
            <w:pPr>
              <w:pStyle w:val="tblNumber01"/>
              <w:jc w:val="center"/>
            </w:pPr>
            <w:r w:rsidRPr="00227C94">
              <w:t>1.7</w:t>
            </w:r>
          </w:p>
        </w:tc>
        <w:tc>
          <w:tcPr>
            <w:tcW w:w="1160" w:type="dxa"/>
            <w:tcBorders>
              <w:top w:val="nil"/>
              <w:left w:val="nil"/>
              <w:bottom w:val="nil"/>
              <w:right w:val="nil"/>
            </w:tcBorders>
            <w:vAlign w:val="bottom"/>
          </w:tcPr>
          <w:p w:rsidR="00C93F0F" w:rsidRPr="00227C94" w:rsidRDefault="00C93F0F" w:rsidP="00C93F0F">
            <w:pPr>
              <w:pStyle w:val="tblNumber00"/>
            </w:pPr>
            <w:r w:rsidRPr="00227C94">
              <w:t>(22,489)</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0"/>
            </w:pPr>
            <w:r w:rsidRPr="00227C94">
              <w:t>(22,712)</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0"/>
            </w:pPr>
            <w:r w:rsidRPr="00227C94">
              <w:t>(1)</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0"/>
            </w:pPr>
            <w:r w:rsidRPr="00227C94">
              <w:t>(71,403)</w:t>
            </w:r>
          </w:p>
        </w:tc>
      </w:tr>
      <w:tr w:rsidR="00C93F0F" w:rsidRPr="00227C94" w:rsidTr="00007AA3">
        <w:trPr>
          <w:cantSplit/>
        </w:trPr>
        <w:tc>
          <w:tcPr>
            <w:tcW w:w="3308" w:type="dxa"/>
            <w:tcBorders>
              <w:top w:val="nil"/>
              <w:left w:val="nil"/>
              <w:bottom w:val="nil"/>
              <w:right w:val="nil"/>
            </w:tcBorders>
            <w:vAlign w:val="center"/>
          </w:tcPr>
          <w:p w:rsidR="00C93F0F" w:rsidRPr="00227C94" w:rsidRDefault="00C93F0F" w:rsidP="00C93F0F">
            <w:pPr>
              <w:pStyle w:val="tblText05"/>
              <w:ind w:left="113"/>
            </w:pPr>
            <w:r w:rsidRPr="00227C94">
              <w:t>Income from investments (net)</w:t>
            </w:r>
          </w:p>
        </w:tc>
        <w:tc>
          <w:tcPr>
            <w:tcW w:w="696" w:type="dxa"/>
            <w:tcBorders>
              <w:top w:val="nil"/>
              <w:left w:val="nil"/>
              <w:bottom w:val="nil"/>
              <w:right w:val="nil"/>
            </w:tcBorders>
            <w:vAlign w:val="bottom"/>
          </w:tcPr>
          <w:p w:rsidR="00C93F0F" w:rsidRPr="00227C94" w:rsidRDefault="00C93F0F" w:rsidP="00C93F0F">
            <w:pPr>
              <w:pStyle w:val="tblNumber01"/>
              <w:jc w:val="center"/>
            </w:pPr>
            <w:r w:rsidRPr="00227C94">
              <w:t>1.8</w:t>
            </w:r>
          </w:p>
        </w:tc>
        <w:tc>
          <w:tcPr>
            <w:tcW w:w="1160" w:type="dxa"/>
            <w:tcBorders>
              <w:top w:val="nil"/>
              <w:left w:val="nil"/>
              <w:right w:val="nil"/>
            </w:tcBorders>
            <w:vAlign w:val="bottom"/>
          </w:tcPr>
          <w:p w:rsidR="00C93F0F" w:rsidRPr="00227C94" w:rsidRDefault="00C93F0F" w:rsidP="00C93F0F">
            <w:pPr>
              <w:pStyle w:val="tblNumber01"/>
            </w:pPr>
            <w:r w:rsidRPr="00227C94">
              <w:t>19,540</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right w:val="nil"/>
            </w:tcBorders>
            <w:vAlign w:val="bottom"/>
          </w:tcPr>
          <w:p w:rsidR="00C93F0F" w:rsidRPr="00227C94" w:rsidRDefault="00C93F0F" w:rsidP="00C93F0F">
            <w:pPr>
              <w:pStyle w:val="tblNumber01"/>
            </w:pPr>
            <w:r w:rsidRPr="00227C94">
              <w:t>8,232</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right w:val="nil"/>
            </w:tcBorders>
            <w:vAlign w:val="bottom"/>
          </w:tcPr>
          <w:p w:rsidR="00C93F0F" w:rsidRPr="00227C94" w:rsidRDefault="00C93F0F" w:rsidP="00C93F0F">
            <w:pPr>
              <w:pStyle w:val="tblNumber01"/>
            </w:pPr>
            <w:r w:rsidRPr="00227C94">
              <w:t>137</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right w:val="nil"/>
            </w:tcBorders>
            <w:vAlign w:val="bottom"/>
          </w:tcPr>
          <w:p w:rsidR="00C93F0F" w:rsidRPr="00227C94" w:rsidRDefault="00C93F0F" w:rsidP="00C93F0F">
            <w:pPr>
              <w:pStyle w:val="tblNumber01"/>
            </w:pPr>
            <w:r w:rsidRPr="00227C94">
              <w:t>3,630</w:t>
            </w:r>
          </w:p>
        </w:tc>
      </w:tr>
      <w:tr w:rsidR="00C93F0F" w:rsidRPr="00227C94" w:rsidTr="00007AA3">
        <w:trPr>
          <w:cantSplit/>
        </w:trPr>
        <w:tc>
          <w:tcPr>
            <w:tcW w:w="3308" w:type="dxa"/>
            <w:tcBorders>
              <w:top w:val="nil"/>
              <w:left w:val="nil"/>
              <w:bottom w:val="nil"/>
              <w:right w:val="nil"/>
            </w:tcBorders>
            <w:vAlign w:val="center"/>
          </w:tcPr>
          <w:p w:rsidR="00C93F0F" w:rsidRPr="00227C94" w:rsidRDefault="00C93F0F" w:rsidP="00C93F0F">
            <w:pPr>
              <w:pStyle w:val="tblText05"/>
              <w:ind w:left="113"/>
            </w:pPr>
            <w:r w:rsidRPr="00227C94">
              <w:t>Foreign exchange (loss)/gain</w:t>
            </w: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nil"/>
              <w:left w:val="nil"/>
              <w:bottom w:val="single" w:sz="4" w:space="0" w:color="auto"/>
              <w:right w:val="nil"/>
            </w:tcBorders>
            <w:vAlign w:val="bottom"/>
          </w:tcPr>
          <w:p w:rsidR="00C93F0F" w:rsidRPr="00227C94" w:rsidRDefault="00C93F0F" w:rsidP="00C93F0F">
            <w:pPr>
              <w:pStyle w:val="tblNumber01"/>
            </w:pPr>
            <w:r w:rsidRPr="00227C94">
              <w:t>7,578</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single" w:sz="4" w:space="0" w:color="auto"/>
              <w:right w:val="nil"/>
            </w:tcBorders>
            <w:vAlign w:val="bottom"/>
          </w:tcPr>
          <w:p w:rsidR="00C93F0F" w:rsidRPr="00227C94" w:rsidRDefault="00C93F0F" w:rsidP="00C93F0F">
            <w:pPr>
              <w:pStyle w:val="tblNumber01"/>
            </w:pPr>
            <w:r w:rsidRPr="00227C94">
              <w:t>2,049</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single" w:sz="4" w:space="0" w:color="auto"/>
              <w:right w:val="nil"/>
            </w:tcBorders>
            <w:vAlign w:val="bottom"/>
          </w:tcPr>
          <w:p w:rsidR="00C93F0F" w:rsidRPr="00227C94" w:rsidRDefault="00C93F0F" w:rsidP="00C93F0F">
            <w:pPr>
              <w:pStyle w:val="tblNumber01"/>
            </w:pPr>
            <w:r w:rsidRPr="00227C94">
              <w:t>270</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single" w:sz="4" w:space="0" w:color="auto"/>
              <w:right w:val="nil"/>
            </w:tcBorders>
            <w:vAlign w:val="bottom"/>
          </w:tcPr>
          <w:p w:rsidR="00C93F0F" w:rsidRPr="00227C94" w:rsidRDefault="00C93F0F" w:rsidP="00C93F0F">
            <w:pPr>
              <w:pStyle w:val="tblNumber00"/>
            </w:pPr>
            <w:r w:rsidRPr="00227C94">
              <w:t>(5,814)</w:t>
            </w:r>
          </w:p>
        </w:tc>
      </w:tr>
      <w:tr w:rsidR="00C93F0F" w:rsidRPr="00227C94" w:rsidTr="00007AA3">
        <w:trPr>
          <w:cantSplit/>
        </w:trPr>
        <w:tc>
          <w:tcPr>
            <w:tcW w:w="3308" w:type="dxa"/>
            <w:tcBorders>
              <w:top w:val="nil"/>
              <w:left w:val="nil"/>
              <w:bottom w:val="nil"/>
              <w:right w:val="nil"/>
            </w:tcBorders>
            <w:vAlign w:val="center"/>
          </w:tcPr>
          <w:p w:rsidR="00C93F0F" w:rsidRPr="00227C94" w:rsidRDefault="00C93F0F" w:rsidP="00C93F0F">
            <w:pPr>
              <w:pStyle w:val="tblText05"/>
              <w:ind w:left="113"/>
              <w:rPr>
                <w:b/>
              </w:rPr>
            </w:pPr>
            <w:r w:rsidRPr="00227C94">
              <w:rPr>
                <w:b/>
              </w:rPr>
              <w:t>Profit before income tax</w:t>
            </w: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single" w:sz="4" w:space="0" w:color="auto"/>
              <w:left w:val="nil"/>
              <w:bottom w:val="nil"/>
              <w:right w:val="nil"/>
            </w:tcBorders>
            <w:vAlign w:val="bottom"/>
          </w:tcPr>
          <w:p w:rsidR="00C93F0F" w:rsidRPr="00227C94" w:rsidRDefault="00C93F0F" w:rsidP="00C93F0F">
            <w:pPr>
              <w:pStyle w:val="tblNumber01"/>
              <w:rPr>
                <w:b/>
              </w:rPr>
            </w:pPr>
            <w:r w:rsidRPr="00227C94">
              <w:rPr>
                <w:b/>
              </w:rPr>
              <w:t>538,922</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single" w:sz="4" w:space="0" w:color="auto"/>
              <w:left w:val="nil"/>
              <w:bottom w:val="nil"/>
              <w:right w:val="nil"/>
            </w:tcBorders>
            <w:vAlign w:val="bottom"/>
          </w:tcPr>
          <w:p w:rsidR="00C93F0F" w:rsidRPr="00227C94" w:rsidRDefault="00C93F0F" w:rsidP="00C93F0F">
            <w:pPr>
              <w:pStyle w:val="tblNumber01"/>
              <w:rPr>
                <w:b/>
              </w:rPr>
            </w:pPr>
            <w:r w:rsidRPr="00227C94">
              <w:rPr>
                <w:b/>
              </w:rPr>
              <w:t>267,200</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single" w:sz="4" w:space="0" w:color="auto"/>
              <w:left w:val="nil"/>
              <w:bottom w:val="nil"/>
              <w:right w:val="nil"/>
            </w:tcBorders>
            <w:vAlign w:val="bottom"/>
          </w:tcPr>
          <w:p w:rsidR="00C93F0F" w:rsidRPr="00227C94" w:rsidRDefault="00C93F0F" w:rsidP="00C93F0F">
            <w:pPr>
              <w:pStyle w:val="tblNumber01"/>
              <w:rPr>
                <w:b/>
              </w:rPr>
            </w:pPr>
            <w:r w:rsidRPr="00227C94">
              <w:rPr>
                <w:b/>
              </w:rPr>
              <w:t>102</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single" w:sz="4" w:space="0" w:color="auto"/>
              <w:left w:val="nil"/>
              <w:bottom w:val="nil"/>
              <w:right w:val="nil"/>
            </w:tcBorders>
            <w:vAlign w:val="bottom"/>
          </w:tcPr>
          <w:p w:rsidR="00C93F0F" w:rsidRPr="00227C94" w:rsidRDefault="00C93F0F" w:rsidP="00C93F0F">
            <w:pPr>
              <w:pStyle w:val="tblNumber01"/>
              <w:rPr>
                <w:b/>
              </w:rPr>
            </w:pPr>
            <w:r w:rsidRPr="00227C94">
              <w:rPr>
                <w:b/>
              </w:rPr>
              <w:t>765,067</w:t>
            </w: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2"/>
            </w:pP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5"/>
              <w:ind w:left="113"/>
            </w:pPr>
            <w:r w:rsidRPr="00227C94">
              <w:t>Pre-tax margin</w:t>
            </w:r>
            <w:r w:rsidRPr="00227C94">
              <w:rPr>
                <w:b/>
                <w:vertAlign w:val="superscript"/>
              </w:rPr>
              <w:t>(</w:t>
            </w:r>
            <w:r w:rsidRPr="00227C94">
              <w:rPr>
                <w:vertAlign w:val="superscript"/>
              </w:rPr>
              <w:t>1</w:t>
            </w:r>
            <w:r w:rsidRPr="00227C94">
              <w:rPr>
                <w:b/>
                <w:vertAlign w:val="superscript"/>
              </w:rPr>
              <w:t>)</w:t>
            </w: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nil"/>
              <w:left w:val="nil"/>
              <w:bottom w:val="nil"/>
              <w:right w:val="nil"/>
            </w:tcBorders>
            <w:vAlign w:val="bottom"/>
          </w:tcPr>
          <w:p w:rsidR="00C93F0F" w:rsidRPr="00227C94" w:rsidRDefault="00C93F0F" w:rsidP="00C93F0F">
            <w:pPr>
              <w:pStyle w:val="tblNumber01"/>
              <w:rPr>
                <w:i/>
              </w:rPr>
            </w:pPr>
            <w:r w:rsidRPr="00227C94">
              <w:rPr>
                <w:i/>
              </w:rPr>
              <w:t>43%</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rPr>
                <w:i/>
              </w:rPr>
            </w:pPr>
            <w:r w:rsidRPr="00227C94">
              <w:rPr>
                <w:i/>
              </w:rPr>
              <w:t>29%</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Dash"/>
              <w:rPr>
                <w:i/>
              </w:rPr>
            </w:pPr>
            <w:r w:rsidRPr="00227C94">
              <w:rPr>
                <w:i/>
              </w:rPr>
              <w:t>-</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rPr>
                <w:i/>
              </w:rPr>
            </w:pPr>
            <w:r w:rsidRPr="00227C94">
              <w:rPr>
                <w:i/>
              </w:rPr>
              <w:t>32%</w:t>
            </w:r>
          </w:p>
        </w:tc>
      </w:tr>
      <w:tr w:rsidR="00C93F0F" w:rsidRPr="00227C94" w:rsidTr="00007AA3">
        <w:trPr>
          <w:cantSplit/>
        </w:trPr>
        <w:tc>
          <w:tcPr>
            <w:tcW w:w="3308" w:type="dxa"/>
            <w:tcBorders>
              <w:top w:val="nil"/>
              <w:left w:val="nil"/>
              <w:bottom w:val="nil"/>
              <w:right w:val="nil"/>
            </w:tcBorders>
            <w:vAlign w:val="center"/>
          </w:tcPr>
          <w:p w:rsidR="00C93F0F" w:rsidRPr="00227C94" w:rsidRDefault="00C93F0F" w:rsidP="00C93F0F">
            <w:pPr>
              <w:pStyle w:val="tblText02"/>
            </w:pPr>
          </w:p>
        </w:tc>
        <w:tc>
          <w:tcPr>
            <w:tcW w:w="696" w:type="dxa"/>
            <w:tcBorders>
              <w:top w:val="nil"/>
              <w:left w:val="nil"/>
              <w:bottom w:val="nil"/>
              <w:right w:val="nil"/>
            </w:tcBorders>
            <w:vAlign w:val="bottom"/>
          </w:tcPr>
          <w:p w:rsidR="00C93F0F" w:rsidRPr="00227C94" w:rsidRDefault="00C93F0F" w:rsidP="00C93F0F">
            <w:pPr>
              <w:pStyle w:val="tblNumber01"/>
              <w:jc w:val="center"/>
            </w:pPr>
          </w:p>
        </w:tc>
        <w:tc>
          <w:tcPr>
            <w:tcW w:w="1160" w:type="dxa"/>
            <w:tcBorders>
              <w:top w:val="nil"/>
              <w:left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right w:val="nil"/>
            </w:tcBorders>
            <w:vAlign w:val="bottom"/>
          </w:tcPr>
          <w:p w:rsidR="00C93F0F" w:rsidRPr="00227C94" w:rsidRDefault="00C93F0F" w:rsidP="00C93F0F">
            <w:pPr>
              <w:pStyle w:val="tblNumber01"/>
            </w:pPr>
          </w:p>
        </w:tc>
      </w:tr>
      <w:tr w:rsidR="00C93F0F" w:rsidRPr="00227C94" w:rsidTr="00007AA3">
        <w:trPr>
          <w:cantSplit/>
        </w:trPr>
        <w:tc>
          <w:tcPr>
            <w:tcW w:w="3308" w:type="dxa"/>
            <w:tcBorders>
              <w:top w:val="nil"/>
              <w:left w:val="nil"/>
              <w:bottom w:val="nil"/>
              <w:right w:val="nil"/>
            </w:tcBorders>
            <w:vAlign w:val="center"/>
          </w:tcPr>
          <w:p w:rsidR="00C93F0F" w:rsidRPr="00227C94" w:rsidRDefault="00C93F0F" w:rsidP="00C93F0F">
            <w:pPr>
              <w:pStyle w:val="tblText05"/>
              <w:ind w:left="113"/>
            </w:pPr>
            <w:r w:rsidRPr="00227C94">
              <w:t>Income tax expense</w:t>
            </w:r>
          </w:p>
        </w:tc>
        <w:tc>
          <w:tcPr>
            <w:tcW w:w="696" w:type="dxa"/>
            <w:tcBorders>
              <w:top w:val="nil"/>
              <w:left w:val="nil"/>
              <w:bottom w:val="nil"/>
              <w:right w:val="nil"/>
            </w:tcBorders>
            <w:vAlign w:val="bottom"/>
          </w:tcPr>
          <w:p w:rsidR="00C93F0F" w:rsidRPr="00227C94" w:rsidRDefault="00C93F0F" w:rsidP="00C93F0F">
            <w:pPr>
              <w:pStyle w:val="tblNumber01"/>
              <w:jc w:val="center"/>
            </w:pPr>
            <w:r w:rsidRPr="00227C94">
              <w:t>1.9</w:t>
            </w:r>
          </w:p>
        </w:tc>
        <w:tc>
          <w:tcPr>
            <w:tcW w:w="1160" w:type="dxa"/>
            <w:tcBorders>
              <w:top w:val="nil"/>
              <w:left w:val="nil"/>
              <w:bottom w:val="single" w:sz="4" w:space="0" w:color="auto"/>
              <w:right w:val="nil"/>
            </w:tcBorders>
            <w:vAlign w:val="bottom"/>
          </w:tcPr>
          <w:p w:rsidR="00C93F0F" w:rsidRPr="00227C94" w:rsidRDefault="00C93F0F" w:rsidP="00C93F0F">
            <w:pPr>
              <w:pStyle w:val="tblNumber00"/>
            </w:pPr>
            <w:r w:rsidRPr="00227C94">
              <w:t>(113,026)</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single" w:sz="4" w:space="0" w:color="auto"/>
              <w:right w:val="nil"/>
            </w:tcBorders>
            <w:vAlign w:val="bottom"/>
          </w:tcPr>
          <w:p w:rsidR="00C93F0F" w:rsidRPr="00227C94" w:rsidRDefault="00C93F0F" w:rsidP="00C93F0F">
            <w:pPr>
              <w:pStyle w:val="tblNumber00"/>
            </w:pPr>
            <w:r w:rsidRPr="00227C94">
              <w:t>(60,400)</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single" w:sz="4" w:space="0" w:color="auto"/>
              <w:right w:val="nil"/>
            </w:tcBorders>
            <w:vAlign w:val="bottom"/>
          </w:tcPr>
          <w:p w:rsidR="00C93F0F" w:rsidRPr="00227C94" w:rsidRDefault="00C93F0F" w:rsidP="00C93F0F">
            <w:pPr>
              <w:pStyle w:val="tblNumber01"/>
            </w:pPr>
            <w:r w:rsidRPr="00227C94">
              <w:t>87</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single" w:sz="4" w:space="0" w:color="auto"/>
              <w:right w:val="nil"/>
            </w:tcBorders>
            <w:vAlign w:val="bottom"/>
          </w:tcPr>
          <w:p w:rsidR="00C93F0F" w:rsidRPr="00227C94" w:rsidRDefault="00C93F0F" w:rsidP="00C93F0F">
            <w:pPr>
              <w:pStyle w:val="tblNumber00"/>
            </w:pPr>
            <w:r w:rsidRPr="00227C94">
              <w:t>(207,052)</w:t>
            </w:r>
          </w:p>
        </w:tc>
      </w:tr>
      <w:tr w:rsidR="006830F1" w:rsidRPr="00227C94" w:rsidTr="001B7082">
        <w:trPr>
          <w:cantSplit/>
        </w:trPr>
        <w:tc>
          <w:tcPr>
            <w:tcW w:w="3308" w:type="dxa"/>
            <w:tcBorders>
              <w:top w:val="nil"/>
              <w:left w:val="nil"/>
              <w:bottom w:val="nil"/>
              <w:right w:val="nil"/>
            </w:tcBorders>
            <w:vAlign w:val="center"/>
          </w:tcPr>
          <w:p w:rsidR="006830F1" w:rsidRPr="00227C94" w:rsidRDefault="006830F1" w:rsidP="00C93F0F">
            <w:pPr>
              <w:pStyle w:val="tblText05"/>
              <w:ind w:left="113"/>
              <w:rPr>
                <w:b/>
                <w:lang w:val="en-GB"/>
              </w:rPr>
            </w:pPr>
          </w:p>
        </w:tc>
        <w:tc>
          <w:tcPr>
            <w:tcW w:w="696" w:type="dxa"/>
            <w:tcBorders>
              <w:top w:val="nil"/>
              <w:left w:val="nil"/>
              <w:bottom w:val="nil"/>
              <w:right w:val="nil"/>
            </w:tcBorders>
            <w:vAlign w:val="bottom"/>
          </w:tcPr>
          <w:p w:rsidR="006830F1" w:rsidRPr="00227C94" w:rsidRDefault="006830F1" w:rsidP="00C93F0F">
            <w:pPr>
              <w:pStyle w:val="tblNumber01"/>
              <w:jc w:val="center"/>
              <w:rPr>
                <w:lang w:val="en-GB"/>
              </w:rPr>
            </w:pPr>
          </w:p>
        </w:tc>
        <w:tc>
          <w:tcPr>
            <w:tcW w:w="1160" w:type="dxa"/>
            <w:tcBorders>
              <w:top w:val="single" w:sz="4" w:space="0" w:color="auto"/>
              <w:left w:val="nil"/>
              <w:right w:val="nil"/>
            </w:tcBorders>
            <w:vAlign w:val="bottom"/>
          </w:tcPr>
          <w:p w:rsidR="006830F1" w:rsidRPr="00227C94" w:rsidRDefault="006830F1" w:rsidP="00C93F0F">
            <w:pPr>
              <w:pStyle w:val="tblNumber01"/>
              <w:rPr>
                <w:b/>
              </w:rPr>
            </w:pPr>
          </w:p>
        </w:tc>
        <w:tc>
          <w:tcPr>
            <w:tcW w:w="97" w:type="dxa"/>
            <w:tcBorders>
              <w:top w:val="nil"/>
              <w:left w:val="nil"/>
              <w:bottom w:val="nil"/>
              <w:right w:val="nil"/>
            </w:tcBorders>
            <w:vAlign w:val="bottom"/>
          </w:tcPr>
          <w:p w:rsidR="006830F1" w:rsidRPr="00227C94" w:rsidRDefault="006830F1" w:rsidP="00C93F0F">
            <w:pPr>
              <w:pStyle w:val="tblNumber01"/>
            </w:pPr>
          </w:p>
        </w:tc>
        <w:tc>
          <w:tcPr>
            <w:tcW w:w="1160" w:type="dxa"/>
            <w:tcBorders>
              <w:top w:val="single" w:sz="4" w:space="0" w:color="auto"/>
              <w:left w:val="nil"/>
              <w:right w:val="nil"/>
            </w:tcBorders>
            <w:vAlign w:val="bottom"/>
          </w:tcPr>
          <w:p w:rsidR="006830F1" w:rsidRPr="00227C94" w:rsidRDefault="006830F1" w:rsidP="00C93F0F">
            <w:pPr>
              <w:pStyle w:val="tblNumber01"/>
              <w:rPr>
                <w:b/>
              </w:rPr>
            </w:pPr>
          </w:p>
        </w:tc>
        <w:tc>
          <w:tcPr>
            <w:tcW w:w="97" w:type="dxa"/>
            <w:tcBorders>
              <w:top w:val="nil"/>
              <w:left w:val="nil"/>
              <w:bottom w:val="nil"/>
              <w:right w:val="nil"/>
            </w:tcBorders>
            <w:vAlign w:val="bottom"/>
          </w:tcPr>
          <w:p w:rsidR="006830F1" w:rsidRPr="00227C94" w:rsidRDefault="006830F1" w:rsidP="00C93F0F">
            <w:pPr>
              <w:pStyle w:val="tblNumber01"/>
            </w:pPr>
          </w:p>
        </w:tc>
        <w:tc>
          <w:tcPr>
            <w:tcW w:w="1160" w:type="dxa"/>
            <w:tcBorders>
              <w:top w:val="single" w:sz="4" w:space="0" w:color="auto"/>
              <w:left w:val="nil"/>
              <w:right w:val="nil"/>
            </w:tcBorders>
            <w:vAlign w:val="bottom"/>
          </w:tcPr>
          <w:p w:rsidR="006830F1" w:rsidRPr="00227C94" w:rsidRDefault="006830F1" w:rsidP="00C93F0F">
            <w:pPr>
              <w:pStyle w:val="tblNumber01"/>
              <w:rPr>
                <w:b/>
              </w:rPr>
            </w:pPr>
          </w:p>
        </w:tc>
        <w:tc>
          <w:tcPr>
            <w:tcW w:w="97" w:type="dxa"/>
            <w:tcBorders>
              <w:top w:val="nil"/>
              <w:left w:val="nil"/>
              <w:bottom w:val="nil"/>
              <w:right w:val="nil"/>
            </w:tcBorders>
            <w:vAlign w:val="bottom"/>
          </w:tcPr>
          <w:p w:rsidR="006830F1" w:rsidRPr="00227C94" w:rsidRDefault="006830F1" w:rsidP="00C93F0F">
            <w:pPr>
              <w:pStyle w:val="tblNumber01"/>
            </w:pPr>
          </w:p>
        </w:tc>
        <w:tc>
          <w:tcPr>
            <w:tcW w:w="1160" w:type="dxa"/>
            <w:tcBorders>
              <w:top w:val="single" w:sz="4" w:space="0" w:color="auto"/>
              <w:left w:val="nil"/>
              <w:right w:val="nil"/>
            </w:tcBorders>
            <w:vAlign w:val="bottom"/>
          </w:tcPr>
          <w:p w:rsidR="006830F1" w:rsidRPr="00227C94" w:rsidRDefault="006830F1" w:rsidP="00C93F0F">
            <w:pPr>
              <w:pStyle w:val="tblNumber01"/>
              <w:rPr>
                <w:b/>
              </w:rPr>
            </w:pPr>
          </w:p>
        </w:tc>
      </w:tr>
      <w:tr w:rsidR="00C93F0F" w:rsidRPr="00227C94" w:rsidTr="001B7082">
        <w:trPr>
          <w:cantSplit/>
        </w:trPr>
        <w:tc>
          <w:tcPr>
            <w:tcW w:w="3308" w:type="dxa"/>
            <w:tcBorders>
              <w:top w:val="nil"/>
              <w:left w:val="nil"/>
              <w:bottom w:val="nil"/>
              <w:right w:val="nil"/>
            </w:tcBorders>
            <w:vAlign w:val="center"/>
          </w:tcPr>
          <w:p w:rsidR="00C93F0F" w:rsidRPr="00227C94" w:rsidRDefault="00C93F0F" w:rsidP="00C93F0F">
            <w:pPr>
              <w:pStyle w:val="tblText05"/>
              <w:ind w:left="113"/>
              <w:rPr>
                <w:b/>
                <w:lang w:val="en-GB"/>
              </w:rPr>
            </w:pPr>
            <w:r w:rsidRPr="00227C94">
              <w:rPr>
                <w:b/>
                <w:lang w:val="en-GB"/>
              </w:rPr>
              <w:t>Profit for the period</w:t>
            </w:r>
            <w:r w:rsidR="00D677DF" w:rsidRPr="00227C94">
              <w:rPr>
                <w:b/>
                <w:lang w:val="en-GB"/>
              </w:rPr>
              <w:t>/year</w:t>
            </w:r>
          </w:p>
        </w:tc>
        <w:tc>
          <w:tcPr>
            <w:tcW w:w="696" w:type="dxa"/>
            <w:tcBorders>
              <w:top w:val="nil"/>
              <w:left w:val="nil"/>
              <w:bottom w:val="nil"/>
              <w:right w:val="nil"/>
            </w:tcBorders>
            <w:vAlign w:val="bottom"/>
          </w:tcPr>
          <w:p w:rsidR="00C93F0F" w:rsidRPr="00227C94" w:rsidRDefault="00C93F0F" w:rsidP="00C93F0F">
            <w:pPr>
              <w:pStyle w:val="tblNumber01"/>
              <w:jc w:val="center"/>
              <w:rPr>
                <w:lang w:val="en-GB"/>
              </w:rPr>
            </w:pPr>
          </w:p>
        </w:tc>
        <w:tc>
          <w:tcPr>
            <w:tcW w:w="1160" w:type="dxa"/>
            <w:tcBorders>
              <w:left w:val="nil"/>
              <w:bottom w:val="double" w:sz="4" w:space="0" w:color="auto"/>
              <w:right w:val="nil"/>
            </w:tcBorders>
            <w:vAlign w:val="bottom"/>
          </w:tcPr>
          <w:p w:rsidR="00C93F0F" w:rsidRPr="00227C94" w:rsidRDefault="00C93F0F" w:rsidP="00C93F0F">
            <w:pPr>
              <w:pStyle w:val="tblNumber01"/>
              <w:rPr>
                <w:b/>
              </w:rPr>
            </w:pPr>
            <w:r w:rsidRPr="00227C94">
              <w:rPr>
                <w:b/>
              </w:rPr>
              <w:t>425,896</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left w:val="nil"/>
              <w:bottom w:val="double" w:sz="4" w:space="0" w:color="auto"/>
              <w:right w:val="nil"/>
            </w:tcBorders>
            <w:vAlign w:val="bottom"/>
          </w:tcPr>
          <w:p w:rsidR="00C93F0F" w:rsidRPr="00227C94" w:rsidRDefault="00C93F0F" w:rsidP="00C93F0F">
            <w:pPr>
              <w:pStyle w:val="tblNumber01"/>
              <w:rPr>
                <w:b/>
              </w:rPr>
            </w:pPr>
            <w:r w:rsidRPr="00227C94">
              <w:rPr>
                <w:b/>
              </w:rPr>
              <w:t>206,800</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left w:val="nil"/>
              <w:bottom w:val="double" w:sz="4" w:space="0" w:color="auto"/>
              <w:right w:val="nil"/>
            </w:tcBorders>
            <w:vAlign w:val="bottom"/>
          </w:tcPr>
          <w:p w:rsidR="00C93F0F" w:rsidRPr="00227C94" w:rsidRDefault="00C93F0F" w:rsidP="00C93F0F">
            <w:pPr>
              <w:pStyle w:val="tblNumber01"/>
              <w:rPr>
                <w:b/>
              </w:rPr>
            </w:pPr>
            <w:r w:rsidRPr="00227C94">
              <w:rPr>
                <w:b/>
              </w:rPr>
              <w:t>106</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left w:val="nil"/>
              <w:bottom w:val="double" w:sz="4" w:space="0" w:color="auto"/>
              <w:right w:val="nil"/>
            </w:tcBorders>
            <w:vAlign w:val="bottom"/>
          </w:tcPr>
          <w:p w:rsidR="00C93F0F" w:rsidRPr="00227C94" w:rsidRDefault="00C93F0F" w:rsidP="00C93F0F">
            <w:pPr>
              <w:pStyle w:val="tblNumber01"/>
              <w:rPr>
                <w:b/>
              </w:rPr>
            </w:pPr>
            <w:r w:rsidRPr="00227C94">
              <w:rPr>
                <w:b/>
              </w:rPr>
              <w:t>558,015</w:t>
            </w:r>
          </w:p>
        </w:tc>
      </w:tr>
      <w:tr w:rsidR="00C93F0F" w:rsidRPr="00227C94" w:rsidTr="001B7082">
        <w:trPr>
          <w:cantSplit/>
        </w:trPr>
        <w:tc>
          <w:tcPr>
            <w:tcW w:w="3308" w:type="dxa"/>
            <w:tcBorders>
              <w:top w:val="nil"/>
              <w:left w:val="nil"/>
              <w:bottom w:val="nil"/>
              <w:right w:val="nil"/>
            </w:tcBorders>
            <w:vAlign w:val="center"/>
          </w:tcPr>
          <w:p w:rsidR="00C93F0F" w:rsidRPr="00227C94" w:rsidRDefault="00C93F0F" w:rsidP="00C93F0F">
            <w:pPr>
              <w:pStyle w:val="tblText05"/>
              <w:ind w:left="113"/>
            </w:pPr>
            <w:r w:rsidRPr="00227C94">
              <w:t>attributable to:</w:t>
            </w:r>
          </w:p>
        </w:tc>
        <w:tc>
          <w:tcPr>
            <w:tcW w:w="696" w:type="dxa"/>
            <w:tcBorders>
              <w:top w:val="nil"/>
              <w:left w:val="nil"/>
              <w:bottom w:val="nil"/>
              <w:right w:val="nil"/>
            </w:tcBorders>
            <w:vAlign w:val="bottom"/>
          </w:tcPr>
          <w:p w:rsidR="00C93F0F" w:rsidRPr="00227C94" w:rsidRDefault="00C93F0F" w:rsidP="00C93F0F">
            <w:pPr>
              <w:pStyle w:val="tblNumber01"/>
            </w:pPr>
          </w:p>
        </w:tc>
        <w:tc>
          <w:tcPr>
            <w:tcW w:w="1160" w:type="dxa"/>
            <w:tcBorders>
              <w:top w:val="double" w:sz="4" w:space="0" w:color="auto"/>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double" w:sz="4" w:space="0" w:color="auto"/>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double" w:sz="4" w:space="0" w:color="auto"/>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double" w:sz="4" w:space="0" w:color="auto"/>
              <w:left w:val="nil"/>
              <w:bottom w:val="nil"/>
              <w:right w:val="nil"/>
            </w:tcBorders>
            <w:vAlign w:val="bottom"/>
          </w:tcPr>
          <w:p w:rsidR="00C93F0F" w:rsidRPr="00227C94" w:rsidRDefault="00C93F0F" w:rsidP="00C93F0F">
            <w:pPr>
              <w:pStyle w:val="tblNumber01"/>
            </w:pPr>
          </w:p>
        </w:tc>
      </w:tr>
      <w:tr w:rsidR="00CA5A3E" w:rsidRPr="00227C94" w:rsidTr="00CA5A3E">
        <w:trPr>
          <w:cantSplit/>
        </w:trPr>
        <w:tc>
          <w:tcPr>
            <w:tcW w:w="3308" w:type="dxa"/>
            <w:tcBorders>
              <w:top w:val="nil"/>
              <w:left w:val="nil"/>
              <w:bottom w:val="nil"/>
              <w:right w:val="nil"/>
            </w:tcBorders>
            <w:vAlign w:val="center"/>
          </w:tcPr>
          <w:p w:rsidR="00CA5A3E" w:rsidRPr="00227C94" w:rsidRDefault="00CA5A3E" w:rsidP="00CA5A3E">
            <w:pPr>
              <w:pStyle w:val="tblText05"/>
              <w:ind w:left="113"/>
              <w:rPr>
                <w:lang w:val="en-GB"/>
              </w:rPr>
            </w:pPr>
            <w:r w:rsidRPr="00227C94">
              <w:rPr>
                <w:lang w:val="en-US"/>
              </w:rPr>
              <w:t>-Shareholders of the parent company</w:t>
            </w:r>
            <w:r w:rsidRPr="00227C94">
              <w:rPr>
                <w:lang w:val="en-GB"/>
              </w:rPr>
              <w:t xml:space="preserve"> </w:t>
            </w:r>
          </w:p>
        </w:tc>
        <w:tc>
          <w:tcPr>
            <w:tcW w:w="696" w:type="dxa"/>
            <w:tcBorders>
              <w:top w:val="nil"/>
              <w:left w:val="nil"/>
              <w:bottom w:val="nil"/>
              <w:right w:val="nil"/>
            </w:tcBorders>
            <w:vAlign w:val="bottom"/>
          </w:tcPr>
          <w:p w:rsidR="00CA5A3E" w:rsidRPr="00227C94" w:rsidRDefault="00CA5A3E" w:rsidP="00CA5A3E">
            <w:pPr>
              <w:pStyle w:val="tblNumber01"/>
              <w:rPr>
                <w:lang w:val="en-GB"/>
              </w:rPr>
            </w:pPr>
          </w:p>
        </w:tc>
        <w:tc>
          <w:tcPr>
            <w:tcW w:w="1160" w:type="dxa"/>
            <w:tcBorders>
              <w:top w:val="nil"/>
              <w:left w:val="nil"/>
              <w:bottom w:val="nil"/>
              <w:right w:val="nil"/>
            </w:tcBorders>
            <w:vAlign w:val="bottom"/>
          </w:tcPr>
          <w:p w:rsidR="00CA5A3E" w:rsidRPr="00227C94" w:rsidRDefault="00CA5A3E" w:rsidP="00CA5A3E">
            <w:pPr>
              <w:pStyle w:val="tblNumber01"/>
            </w:pPr>
            <w:r w:rsidRPr="00227C94">
              <w:t>389,315</w:t>
            </w:r>
          </w:p>
        </w:tc>
        <w:tc>
          <w:tcPr>
            <w:tcW w:w="97" w:type="dxa"/>
            <w:tcBorders>
              <w:top w:val="nil"/>
              <w:left w:val="nil"/>
              <w:bottom w:val="nil"/>
              <w:right w:val="nil"/>
            </w:tcBorders>
            <w:vAlign w:val="bottom"/>
          </w:tcPr>
          <w:p w:rsidR="00CA5A3E" w:rsidRPr="00227C94" w:rsidRDefault="00CA5A3E" w:rsidP="00CA5A3E">
            <w:pPr>
              <w:pStyle w:val="tblNumber01"/>
            </w:pPr>
          </w:p>
        </w:tc>
        <w:tc>
          <w:tcPr>
            <w:tcW w:w="1160" w:type="dxa"/>
            <w:tcBorders>
              <w:top w:val="nil"/>
              <w:left w:val="nil"/>
              <w:bottom w:val="nil"/>
              <w:right w:val="nil"/>
            </w:tcBorders>
            <w:vAlign w:val="bottom"/>
          </w:tcPr>
          <w:p w:rsidR="00CA5A3E" w:rsidRPr="00227C94" w:rsidRDefault="00CA5A3E" w:rsidP="00CA5A3E">
            <w:pPr>
              <w:pStyle w:val="tblNumber01"/>
            </w:pPr>
            <w:r w:rsidRPr="00227C94">
              <w:t>188,847</w:t>
            </w:r>
          </w:p>
        </w:tc>
        <w:tc>
          <w:tcPr>
            <w:tcW w:w="97" w:type="dxa"/>
            <w:tcBorders>
              <w:top w:val="nil"/>
              <w:left w:val="nil"/>
              <w:bottom w:val="nil"/>
              <w:right w:val="nil"/>
            </w:tcBorders>
            <w:vAlign w:val="bottom"/>
          </w:tcPr>
          <w:p w:rsidR="00CA5A3E" w:rsidRPr="00227C94" w:rsidRDefault="00CA5A3E" w:rsidP="00CA5A3E">
            <w:pPr>
              <w:pStyle w:val="tblNumber01"/>
            </w:pPr>
          </w:p>
        </w:tc>
        <w:tc>
          <w:tcPr>
            <w:tcW w:w="1160" w:type="dxa"/>
            <w:tcBorders>
              <w:top w:val="nil"/>
              <w:left w:val="nil"/>
              <w:bottom w:val="nil"/>
              <w:right w:val="nil"/>
            </w:tcBorders>
            <w:vAlign w:val="bottom"/>
          </w:tcPr>
          <w:p w:rsidR="00CA5A3E" w:rsidRPr="00227C94" w:rsidRDefault="00CA5A3E" w:rsidP="00CA5A3E">
            <w:pPr>
              <w:pStyle w:val="tblNumber01"/>
              <w:rPr>
                <w:lang w:val="en-GB"/>
              </w:rPr>
            </w:pPr>
            <w:r w:rsidRPr="00227C94">
              <w:t>10</w:t>
            </w:r>
            <w:r w:rsidRPr="00227C94">
              <w:rPr>
                <w:lang w:val="en-GB"/>
              </w:rPr>
              <w:t>6</w:t>
            </w:r>
          </w:p>
        </w:tc>
        <w:tc>
          <w:tcPr>
            <w:tcW w:w="97" w:type="dxa"/>
            <w:tcBorders>
              <w:top w:val="nil"/>
              <w:left w:val="nil"/>
              <w:bottom w:val="nil"/>
              <w:right w:val="nil"/>
            </w:tcBorders>
            <w:vAlign w:val="bottom"/>
          </w:tcPr>
          <w:p w:rsidR="00CA5A3E" w:rsidRPr="00227C94" w:rsidRDefault="00CA5A3E" w:rsidP="00CA5A3E">
            <w:pPr>
              <w:pStyle w:val="tblNumber01"/>
            </w:pPr>
          </w:p>
        </w:tc>
        <w:tc>
          <w:tcPr>
            <w:tcW w:w="1160" w:type="dxa"/>
            <w:tcBorders>
              <w:top w:val="nil"/>
              <w:left w:val="nil"/>
              <w:bottom w:val="nil"/>
              <w:right w:val="nil"/>
            </w:tcBorders>
            <w:vAlign w:val="bottom"/>
          </w:tcPr>
          <w:p w:rsidR="00CA5A3E" w:rsidRPr="00227C94" w:rsidRDefault="00CA5A3E" w:rsidP="00CA5A3E">
            <w:pPr>
              <w:pStyle w:val="tblNumber01"/>
            </w:pPr>
            <w:r w:rsidRPr="00227C94">
              <w:t>468,998</w:t>
            </w:r>
          </w:p>
        </w:tc>
      </w:tr>
      <w:tr w:rsidR="00CA5A3E" w:rsidRPr="00227C94" w:rsidTr="00CA5A3E">
        <w:trPr>
          <w:cantSplit/>
        </w:trPr>
        <w:tc>
          <w:tcPr>
            <w:tcW w:w="3308" w:type="dxa"/>
            <w:tcBorders>
              <w:top w:val="nil"/>
              <w:left w:val="nil"/>
              <w:bottom w:val="nil"/>
              <w:right w:val="nil"/>
            </w:tcBorders>
            <w:vAlign w:val="center"/>
          </w:tcPr>
          <w:p w:rsidR="00CA5A3E" w:rsidRPr="00227C94" w:rsidRDefault="00CA5A3E" w:rsidP="00CA5A3E">
            <w:pPr>
              <w:pStyle w:val="tblText05"/>
              <w:ind w:left="113"/>
              <w:rPr>
                <w:lang w:val="en-US"/>
              </w:rPr>
            </w:pPr>
            <w:r w:rsidRPr="00227C94">
              <w:rPr>
                <w:lang w:val="en-GB"/>
              </w:rPr>
              <w:t>-Non-controlling interest</w:t>
            </w:r>
          </w:p>
        </w:tc>
        <w:tc>
          <w:tcPr>
            <w:tcW w:w="696" w:type="dxa"/>
            <w:tcBorders>
              <w:top w:val="nil"/>
              <w:left w:val="nil"/>
              <w:bottom w:val="nil"/>
              <w:right w:val="nil"/>
            </w:tcBorders>
            <w:vAlign w:val="bottom"/>
          </w:tcPr>
          <w:p w:rsidR="00CA5A3E" w:rsidRPr="00227C94" w:rsidRDefault="00CA5A3E" w:rsidP="00CA5A3E">
            <w:pPr>
              <w:pStyle w:val="tblNumber01"/>
              <w:rPr>
                <w:lang w:val="en-US"/>
              </w:rPr>
            </w:pPr>
          </w:p>
        </w:tc>
        <w:tc>
          <w:tcPr>
            <w:tcW w:w="1160" w:type="dxa"/>
            <w:tcBorders>
              <w:top w:val="nil"/>
              <w:left w:val="nil"/>
              <w:bottom w:val="nil"/>
              <w:right w:val="nil"/>
            </w:tcBorders>
            <w:vAlign w:val="bottom"/>
          </w:tcPr>
          <w:p w:rsidR="00CA5A3E" w:rsidRPr="00227C94" w:rsidRDefault="00CA5A3E" w:rsidP="00CA5A3E">
            <w:pPr>
              <w:pStyle w:val="tblNumber01"/>
            </w:pPr>
            <w:r w:rsidRPr="00227C94">
              <w:t>36,581</w:t>
            </w:r>
          </w:p>
        </w:tc>
        <w:tc>
          <w:tcPr>
            <w:tcW w:w="97" w:type="dxa"/>
            <w:tcBorders>
              <w:top w:val="nil"/>
              <w:left w:val="nil"/>
              <w:bottom w:val="nil"/>
              <w:right w:val="nil"/>
            </w:tcBorders>
            <w:vAlign w:val="bottom"/>
          </w:tcPr>
          <w:p w:rsidR="00CA5A3E" w:rsidRPr="00227C94" w:rsidRDefault="00CA5A3E" w:rsidP="00CA5A3E">
            <w:pPr>
              <w:pStyle w:val="tblNumber01"/>
            </w:pPr>
          </w:p>
        </w:tc>
        <w:tc>
          <w:tcPr>
            <w:tcW w:w="1160" w:type="dxa"/>
            <w:tcBorders>
              <w:top w:val="nil"/>
              <w:left w:val="nil"/>
              <w:bottom w:val="nil"/>
              <w:right w:val="nil"/>
            </w:tcBorders>
            <w:vAlign w:val="bottom"/>
          </w:tcPr>
          <w:p w:rsidR="00CA5A3E" w:rsidRPr="00227C94" w:rsidRDefault="00CA5A3E" w:rsidP="00CA5A3E">
            <w:pPr>
              <w:pStyle w:val="tblNumber01"/>
            </w:pPr>
            <w:r w:rsidRPr="00227C94">
              <w:t>17,953</w:t>
            </w:r>
          </w:p>
        </w:tc>
        <w:tc>
          <w:tcPr>
            <w:tcW w:w="97" w:type="dxa"/>
            <w:tcBorders>
              <w:top w:val="nil"/>
              <w:left w:val="nil"/>
              <w:bottom w:val="nil"/>
              <w:right w:val="nil"/>
            </w:tcBorders>
            <w:vAlign w:val="bottom"/>
          </w:tcPr>
          <w:p w:rsidR="00CA5A3E" w:rsidRPr="00227C94" w:rsidRDefault="00CA5A3E" w:rsidP="00CA5A3E">
            <w:pPr>
              <w:pStyle w:val="tblNumber01"/>
            </w:pPr>
          </w:p>
        </w:tc>
        <w:tc>
          <w:tcPr>
            <w:tcW w:w="1160" w:type="dxa"/>
            <w:tcBorders>
              <w:top w:val="nil"/>
              <w:left w:val="nil"/>
              <w:bottom w:val="nil"/>
              <w:right w:val="nil"/>
            </w:tcBorders>
            <w:vAlign w:val="bottom"/>
          </w:tcPr>
          <w:p w:rsidR="00CA5A3E" w:rsidRPr="00227C94" w:rsidRDefault="00CA5A3E" w:rsidP="00CA5A3E">
            <w:pPr>
              <w:pStyle w:val="tblNumber01"/>
              <w:rPr>
                <w:lang w:val="en-GB"/>
              </w:rPr>
            </w:pPr>
            <w:r w:rsidRPr="00227C94">
              <w:t>10</w:t>
            </w:r>
            <w:r w:rsidRPr="00227C94">
              <w:rPr>
                <w:lang w:val="en-GB"/>
              </w:rPr>
              <w:t>4</w:t>
            </w:r>
          </w:p>
        </w:tc>
        <w:tc>
          <w:tcPr>
            <w:tcW w:w="97" w:type="dxa"/>
            <w:tcBorders>
              <w:top w:val="nil"/>
              <w:left w:val="nil"/>
              <w:bottom w:val="nil"/>
              <w:right w:val="nil"/>
            </w:tcBorders>
            <w:vAlign w:val="bottom"/>
          </w:tcPr>
          <w:p w:rsidR="00CA5A3E" w:rsidRPr="00227C94" w:rsidRDefault="00CA5A3E" w:rsidP="00CA5A3E">
            <w:pPr>
              <w:pStyle w:val="tblNumber01"/>
            </w:pPr>
          </w:p>
        </w:tc>
        <w:tc>
          <w:tcPr>
            <w:tcW w:w="1160" w:type="dxa"/>
            <w:tcBorders>
              <w:top w:val="nil"/>
              <w:left w:val="nil"/>
              <w:bottom w:val="nil"/>
              <w:right w:val="nil"/>
            </w:tcBorders>
            <w:vAlign w:val="bottom"/>
          </w:tcPr>
          <w:p w:rsidR="00CA5A3E" w:rsidRPr="00227C94" w:rsidRDefault="00CA5A3E" w:rsidP="00CA5A3E">
            <w:pPr>
              <w:pStyle w:val="tblNumber01"/>
            </w:pPr>
            <w:r w:rsidRPr="00227C94">
              <w:t>89,017</w:t>
            </w: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2"/>
            </w:pPr>
          </w:p>
        </w:tc>
        <w:tc>
          <w:tcPr>
            <w:tcW w:w="696"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pP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5"/>
              <w:ind w:left="113"/>
              <w:rPr>
                <w:i/>
                <w:lang w:val="en-US"/>
              </w:rPr>
            </w:pPr>
            <w:r w:rsidRPr="00227C94">
              <w:rPr>
                <w:i/>
                <w:lang w:val="en-US"/>
              </w:rPr>
              <w:t>Profit for the period margin</w:t>
            </w:r>
          </w:p>
        </w:tc>
        <w:tc>
          <w:tcPr>
            <w:tcW w:w="696" w:type="dxa"/>
            <w:tcBorders>
              <w:top w:val="nil"/>
              <w:left w:val="nil"/>
              <w:bottom w:val="nil"/>
              <w:right w:val="nil"/>
            </w:tcBorders>
            <w:vAlign w:val="bottom"/>
          </w:tcPr>
          <w:p w:rsidR="00C93F0F" w:rsidRPr="00227C94" w:rsidRDefault="00C93F0F" w:rsidP="00C93F0F">
            <w:pPr>
              <w:pStyle w:val="tblNumber01"/>
              <w:rPr>
                <w:lang w:val="en-US"/>
              </w:rPr>
            </w:pPr>
          </w:p>
        </w:tc>
        <w:tc>
          <w:tcPr>
            <w:tcW w:w="1160" w:type="dxa"/>
            <w:tcBorders>
              <w:top w:val="nil"/>
              <w:left w:val="nil"/>
              <w:bottom w:val="nil"/>
              <w:right w:val="nil"/>
            </w:tcBorders>
            <w:vAlign w:val="bottom"/>
          </w:tcPr>
          <w:p w:rsidR="00C93F0F" w:rsidRPr="00227C94" w:rsidRDefault="00C93F0F" w:rsidP="00C93F0F">
            <w:pPr>
              <w:pStyle w:val="tblNumber01"/>
              <w:rPr>
                <w:i/>
              </w:rPr>
            </w:pPr>
            <w:r w:rsidRPr="00227C94">
              <w:rPr>
                <w:i/>
              </w:rPr>
              <w:t>34%</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rPr>
                <w:i/>
              </w:rPr>
            </w:pPr>
            <w:r w:rsidRPr="00227C94">
              <w:rPr>
                <w:i/>
              </w:rPr>
              <w:t>22%</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Dash"/>
              <w:rPr>
                <w:i/>
              </w:rPr>
            </w:pPr>
            <w:r w:rsidRPr="00227C94">
              <w:rPr>
                <w:i/>
              </w:rPr>
              <w:t>-</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rPr>
                <w:i/>
              </w:rPr>
            </w:pPr>
            <w:r w:rsidRPr="00227C94">
              <w:rPr>
                <w:i/>
              </w:rPr>
              <w:t>23%</w:t>
            </w:r>
          </w:p>
        </w:tc>
      </w:tr>
      <w:tr w:rsidR="00C93F0F" w:rsidRPr="00227C94" w:rsidTr="00C93F0F">
        <w:trPr>
          <w:cantSplit/>
        </w:trPr>
        <w:tc>
          <w:tcPr>
            <w:tcW w:w="3308" w:type="dxa"/>
            <w:tcBorders>
              <w:top w:val="nil"/>
              <w:left w:val="nil"/>
              <w:bottom w:val="nil"/>
              <w:right w:val="nil"/>
            </w:tcBorders>
            <w:vAlign w:val="center"/>
          </w:tcPr>
          <w:p w:rsidR="00C93F0F" w:rsidRPr="00227C94" w:rsidRDefault="00C93F0F" w:rsidP="00C93F0F">
            <w:pPr>
              <w:pStyle w:val="tblText05"/>
              <w:ind w:left="113"/>
              <w:rPr>
                <w:lang w:val="en-US"/>
              </w:rPr>
            </w:pPr>
            <w:r w:rsidRPr="00227C94">
              <w:rPr>
                <w:lang w:val="en-US"/>
              </w:rPr>
              <w:t>Earnings per share – basic and diluted (US cents)</w:t>
            </w:r>
            <w:r w:rsidRPr="00227C94">
              <w:rPr>
                <w:vertAlign w:val="superscript"/>
                <w:lang w:val="en-US"/>
              </w:rPr>
              <w:t xml:space="preserve"> (2)</w:t>
            </w:r>
          </w:p>
        </w:tc>
        <w:tc>
          <w:tcPr>
            <w:tcW w:w="696" w:type="dxa"/>
            <w:tcBorders>
              <w:top w:val="nil"/>
              <w:left w:val="nil"/>
              <w:bottom w:val="nil"/>
              <w:right w:val="nil"/>
            </w:tcBorders>
            <w:vAlign w:val="bottom"/>
          </w:tcPr>
          <w:p w:rsidR="00C93F0F" w:rsidRPr="00227C94" w:rsidRDefault="00C93F0F" w:rsidP="00C93F0F">
            <w:pPr>
              <w:pStyle w:val="tblNumber01"/>
              <w:rPr>
                <w:lang w:val="en-US"/>
              </w:rPr>
            </w:pPr>
          </w:p>
        </w:tc>
        <w:tc>
          <w:tcPr>
            <w:tcW w:w="1160" w:type="dxa"/>
            <w:tcBorders>
              <w:top w:val="nil"/>
              <w:left w:val="nil"/>
              <w:bottom w:val="nil"/>
              <w:right w:val="nil"/>
            </w:tcBorders>
            <w:vAlign w:val="bottom"/>
          </w:tcPr>
          <w:p w:rsidR="00C93F0F" w:rsidRPr="00227C94" w:rsidRDefault="00C93F0F" w:rsidP="00C93F0F">
            <w:pPr>
              <w:pStyle w:val="tblNumber01"/>
              <w:rPr>
                <w:b/>
              </w:rPr>
            </w:pPr>
            <w:r w:rsidRPr="00227C94">
              <w:rPr>
                <w:b/>
              </w:rPr>
              <w:t>14</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rPr>
                <w:b/>
              </w:rPr>
            </w:pPr>
            <w:r w:rsidRPr="00227C94">
              <w:rPr>
                <w:b/>
              </w:rPr>
              <w:t>6</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rPr>
                <w:b/>
              </w:rPr>
            </w:pPr>
            <w:r w:rsidRPr="00227C94">
              <w:rPr>
                <w:b/>
              </w:rPr>
              <w:t>133</w:t>
            </w:r>
          </w:p>
        </w:tc>
        <w:tc>
          <w:tcPr>
            <w:tcW w:w="97" w:type="dxa"/>
            <w:tcBorders>
              <w:top w:val="nil"/>
              <w:left w:val="nil"/>
              <w:bottom w:val="nil"/>
              <w:right w:val="nil"/>
            </w:tcBorders>
            <w:vAlign w:val="bottom"/>
          </w:tcPr>
          <w:p w:rsidR="00C93F0F" w:rsidRPr="00227C94" w:rsidRDefault="00C93F0F" w:rsidP="00C93F0F">
            <w:pPr>
              <w:pStyle w:val="tblNumber01"/>
            </w:pPr>
          </w:p>
        </w:tc>
        <w:tc>
          <w:tcPr>
            <w:tcW w:w="1160" w:type="dxa"/>
            <w:tcBorders>
              <w:top w:val="nil"/>
              <w:left w:val="nil"/>
              <w:bottom w:val="nil"/>
              <w:right w:val="nil"/>
            </w:tcBorders>
            <w:vAlign w:val="bottom"/>
          </w:tcPr>
          <w:p w:rsidR="00C93F0F" w:rsidRPr="00227C94" w:rsidRDefault="00C93F0F" w:rsidP="00C93F0F">
            <w:pPr>
              <w:pStyle w:val="tblNumber01"/>
              <w:rPr>
                <w:b/>
              </w:rPr>
            </w:pPr>
            <w:r w:rsidRPr="00227C94">
              <w:rPr>
                <w:b/>
              </w:rPr>
              <w:t>16</w:t>
            </w:r>
          </w:p>
        </w:tc>
      </w:tr>
    </w:tbl>
    <w:p w:rsidR="00916675" w:rsidRPr="00227C94" w:rsidRDefault="00916675" w:rsidP="00C93F0F">
      <w:pPr>
        <w:pStyle w:val="23"/>
        <w:rPr>
          <w:color w:val="auto"/>
          <w:lang w:val="en-US"/>
        </w:rPr>
      </w:pPr>
    </w:p>
    <w:p w:rsidR="00C93F0F" w:rsidRPr="00227C94" w:rsidRDefault="00C93F0F" w:rsidP="00C93F0F">
      <w:pPr>
        <w:pStyle w:val="23"/>
        <w:rPr>
          <w:color w:val="auto"/>
          <w:lang w:val="en-US"/>
        </w:rPr>
      </w:pPr>
    </w:p>
    <w:p w:rsidR="00916675" w:rsidRPr="00227C94" w:rsidRDefault="00916675" w:rsidP="00C93F0F">
      <w:pPr>
        <w:pStyle w:val="23"/>
        <w:rPr>
          <w:color w:val="auto"/>
          <w:spacing w:val="-2"/>
          <w:lang w:val="en-US"/>
        </w:rPr>
      </w:pPr>
      <w:bookmarkStart w:id="71" w:name="_DV_M99"/>
      <w:bookmarkEnd w:id="71"/>
      <w:r w:rsidRPr="00227C94">
        <w:rPr>
          <w:color w:val="auto"/>
          <w:lang w:val="en-US"/>
        </w:rPr>
        <w:t xml:space="preserve">The following table shows </w:t>
      </w:r>
      <w:bookmarkStart w:id="72" w:name="_DV_C42"/>
      <w:r w:rsidRPr="00227C94">
        <w:rPr>
          <w:color w:val="auto"/>
          <w:lang w:val="en-US"/>
        </w:rPr>
        <w:t>key</w:t>
      </w:r>
      <w:bookmarkStart w:id="73" w:name="_DV_M100"/>
      <w:bookmarkEnd w:id="72"/>
      <w:bookmarkEnd w:id="73"/>
      <w:r w:rsidRPr="00227C94">
        <w:rPr>
          <w:color w:val="auto"/>
          <w:lang w:val="en-US"/>
        </w:rPr>
        <w:t xml:space="preserve"> performance </w:t>
      </w:r>
      <w:bookmarkStart w:id="74" w:name="_DV_C44"/>
      <w:r w:rsidRPr="00227C94">
        <w:rPr>
          <w:color w:val="auto"/>
          <w:lang w:val="en-US"/>
        </w:rPr>
        <w:t>indicators</w:t>
      </w:r>
      <w:bookmarkStart w:id="75" w:name="_DV_M101"/>
      <w:bookmarkEnd w:id="74"/>
      <w:bookmarkEnd w:id="75"/>
      <w:r w:rsidRPr="00227C94">
        <w:rPr>
          <w:color w:val="auto"/>
          <w:lang w:val="en-US"/>
        </w:rPr>
        <w:t xml:space="preserve"> of the Group’s operations </w:t>
      </w:r>
      <w:r w:rsidR="00EA241F" w:rsidRPr="00227C94">
        <w:rPr>
          <w:color w:val="auto"/>
          <w:lang w:val="en-US"/>
        </w:rPr>
        <w:t xml:space="preserve">for the 6 months ended 30 June 2012 and 30 June 2011, and for the year ended 31 December 2011 </w:t>
      </w:r>
      <w:r w:rsidRPr="00227C94">
        <w:rPr>
          <w:color w:val="auto"/>
          <w:spacing w:val="-2"/>
          <w:lang w:val="en-US"/>
        </w:rPr>
        <w:t>expressed in non-GAAP financial measures:</w:t>
      </w:r>
    </w:p>
    <w:p w:rsidR="00C93F0F" w:rsidRPr="00227C94" w:rsidRDefault="00C93F0F" w:rsidP="00C93F0F">
      <w:pPr>
        <w:pStyle w:val="23"/>
        <w:rPr>
          <w:color w:val="auto"/>
          <w:spacing w:val="-2"/>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3287"/>
        <w:gridCol w:w="700"/>
        <w:gridCol w:w="1165"/>
        <w:gridCol w:w="96"/>
        <w:gridCol w:w="1165"/>
        <w:gridCol w:w="96"/>
        <w:gridCol w:w="1165"/>
        <w:gridCol w:w="96"/>
        <w:gridCol w:w="1165"/>
      </w:tblGrid>
      <w:tr w:rsidR="00C93F0F" w:rsidRPr="00227C94" w:rsidTr="00A701F4">
        <w:trPr>
          <w:cantSplit/>
        </w:trPr>
        <w:tc>
          <w:tcPr>
            <w:tcW w:w="3287" w:type="dxa"/>
            <w:tcBorders>
              <w:top w:val="nil"/>
              <w:left w:val="nil"/>
              <w:bottom w:val="nil"/>
              <w:right w:val="nil"/>
            </w:tcBorders>
          </w:tcPr>
          <w:p w:rsidR="00C93F0F" w:rsidRPr="00227C94" w:rsidRDefault="00C93F0F" w:rsidP="00C93F0F">
            <w:pPr>
              <w:pStyle w:val="tblHeaderText"/>
              <w:jc w:val="left"/>
              <w:rPr>
                <w:lang w:val="en-US"/>
              </w:rPr>
            </w:pPr>
          </w:p>
        </w:tc>
        <w:tc>
          <w:tcPr>
            <w:tcW w:w="700" w:type="dxa"/>
            <w:tcBorders>
              <w:top w:val="nil"/>
              <w:left w:val="nil"/>
              <w:bottom w:val="nil"/>
              <w:right w:val="nil"/>
            </w:tcBorders>
          </w:tcPr>
          <w:p w:rsidR="00C93F0F" w:rsidRPr="00227C94" w:rsidRDefault="00C93F0F" w:rsidP="00C93F0F">
            <w:pPr>
              <w:pStyle w:val="tblHeaderText"/>
              <w:rPr>
                <w:lang w:val="en-US"/>
              </w:rPr>
            </w:pPr>
          </w:p>
        </w:tc>
        <w:tc>
          <w:tcPr>
            <w:tcW w:w="2426" w:type="dxa"/>
            <w:gridSpan w:val="3"/>
            <w:tcBorders>
              <w:top w:val="nil"/>
              <w:left w:val="nil"/>
              <w:bottom w:val="single" w:sz="6" w:space="0" w:color="auto"/>
              <w:right w:val="nil"/>
            </w:tcBorders>
            <w:shd w:val="clear" w:color="auto" w:fill="auto"/>
            <w:vAlign w:val="bottom"/>
          </w:tcPr>
          <w:p w:rsidR="00C93F0F" w:rsidRPr="00227C94" w:rsidRDefault="00C93F0F" w:rsidP="00C93F0F">
            <w:pPr>
              <w:pStyle w:val="tblHeaderText"/>
            </w:pPr>
            <w:r w:rsidRPr="00227C94">
              <w:t>Six months ended 30 June</w:t>
            </w:r>
          </w:p>
        </w:tc>
        <w:tc>
          <w:tcPr>
            <w:tcW w:w="96" w:type="dxa"/>
            <w:tcBorders>
              <w:top w:val="nil"/>
              <w:left w:val="nil"/>
              <w:bottom w:val="nil"/>
              <w:right w:val="nil"/>
            </w:tcBorders>
            <w:vAlign w:val="bottom"/>
          </w:tcPr>
          <w:p w:rsidR="00C93F0F" w:rsidRPr="00227C94" w:rsidRDefault="00C93F0F" w:rsidP="00C93F0F">
            <w:pPr>
              <w:pStyle w:val="tblHeaderText"/>
            </w:pPr>
          </w:p>
        </w:tc>
        <w:tc>
          <w:tcPr>
            <w:tcW w:w="1165" w:type="dxa"/>
            <w:tcBorders>
              <w:top w:val="nil"/>
              <w:left w:val="nil"/>
              <w:right w:val="nil"/>
            </w:tcBorders>
            <w:vAlign w:val="bottom"/>
          </w:tcPr>
          <w:p w:rsidR="00EA241F" w:rsidRPr="00227C94" w:rsidRDefault="00C93F0F" w:rsidP="00C93F0F">
            <w:pPr>
              <w:pStyle w:val="tblHeaderText"/>
              <w:rPr>
                <w:lang w:val="en-US"/>
              </w:rPr>
            </w:pPr>
            <w:r w:rsidRPr="00227C94">
              <w:t xml:space="preserve">% </w:t>
            </w:r>
          </w:p>
          <w:p w:rsidR="00C93F0F" w:rsidRPr="00227C94" w:rsidRDefault="00C93F0F" w:rsidP="00C93F0F">
            <w:pPr>
              <w:pStyle w:val="tblHeaderText"/>
            </w:pPr>
            <w:r w:rsidRPr="00227C94">
              <w:t>change</w:t>
            </w:r>
          </w:p>
        </w:tc>
        <w:tc>
          <w:tcPr>
            <w:tcW w:w="96" w:type="dxa"/>
            <w:tcBorders>
              <w:top w:val="nil"/>
              <w:left w:val="nil"/>
              <w:bottom w:val="nil"/>
              <w:right w:val="nil"/>
            </w:tcBorders>
          </w:tcPr>
          <w:p w:rsidR="00C93F0F" w:rsidRPr="00227C94" w:rsidRDefault="00C93F0F" w:rsidP="00C93F0F">
            <w:pPr>
              <w:pStyle w:val="tblHeaderText"/>
            </w:pPr>
          </w:p>
        </w:tc>
        <w:tc>
          <w:tcPr>
            <w:tcW w:w="1165" w:type="dxa"/>
            <w:tcBorders>
              <w:top w:val="nil"/>
              <w:left w:val="nil"/>
              <w:right w:val="nil"/>
            </w:tcBorders>
            <w:vAlign w:val="bottom"/>
          </w:tcPr>
          <w:p w:rsidR="00C93F0F" w:rsidRPr="00227C94" w:rsidRDefault="00C93F0F" w:rsidP="00C93F0F">
            <w:pPr>
              <w:pStyle w:val="tblHeaderText"/>
            </w:pPr>
            <w:r w:rsidRPr="00227C94">
              <w:t>Year ended</w:t>
            </w:r>
          </w:p>
          <w:p w:rsidR="00C93F0F" w:rsidRPr="00227C94" w:rsidRDefault="00C93F0F" w:rsidP="00C93F0F">
            <w:pPr>
              <w:pStyle w:val="tblHeaderText"/>
            </w:pPr>
            <w:r w:rsidRPr="00227C94">
              <w:t>31 December</w:t>
            </w:r>
          </w:p>
        </w:tc>
      </w:tr>
      <w:tr w:rsidR="00C93F0F" w:rsidRPr="00227C94" w:rsidTr="00A701F4">
        <w:trPr>
          <w:cantSplit/>
        </w:trPr>
        <w:tc>
          <w:tcPr>
            <w:tcW w:w="3287" w:type="dxa"/>
            <w:tcBorders>
              <w:top w:val="nil"/>
              <w:left w:val="nil"/>
              <w:bottom w:val="nil"/>
              <w:right w:val="nil"/>
            </w:tcBorders>
          </w:tcPr>
          <w:p w:rsidR="00C93F0F" w:rsidRPr="00227C94" w:rsidRDefault="00C93F0F" w:rsidP="00821069">
            <w:pPr>
              <w:pStyle w:val="tblHeaderText"/>
              <w:jc w:val="left"/>
            </w:pPr>
            <w:r w:rsidRPr="00227C94">
              <w:t>USD’000, unless specified otherwise</w:t>
            </w:r>
          </w:p>
        </w:tc>
        <w:tc>
          <w:tcPr>
            <w:tcW w:w="700" w:type="dxa"/>
            <w:tcBorders>
              <w:top w:val="nil"/>
              <w:left w:val="nil"/>
              <w:bottom w:val="nil"/>
              <w:right w:val="nil"/>
            </w:tcBorders>
          </w:tcPr>
          <w:p w:rsidR="00C93F0F" w:rsidRPr="00227C94" w:rsidRDefault="00C93F0F" w:rsidP="00821069">
            <w:pPr>
              <w:pStyle w:val="tblHeaderText"/>
            </w:pPr>
            <w:r w:rsidRPr="00227C94">
              <w:t>Note</w:t>
            </w:r>
          </w:p>
        </w:tc>
        <w:tc>
          <w:tcPr>
            <w:tcW w:w="1165" w:type="dxa"/>
            <w:tcBorders>
              <w:top w:val="single" w:sz="6" w:space="0" w:color="auto"/>
              <w:left w:val="nil"/>
              <w:bottom w:val="single" w:sz="6" w:space="0" w:color="auto"/>
              <w:right w:val="nil"/>
            </w:tcBorders>
            <w:shd w:val="clear" w:color="auto" w:fill="auto"/>
          </w:tcPr>
          <w:p w:rsidR="00C93F0F" w:rsidRPr="00227C94" w:rsidRDefault="00C93F0F" w:rsidP="00821069">
            <w:pPr>
              <w:pStyle w:val="tblHeaderText"/>
            </w:pPr>
            <w:r w:rsidRPr="00227C94">
              <w:t>2012</w:t>
            </w:r>
          </w:p>
        </w:tc>
        <w:tc>
          <w:tcPr>
            <w:tcW w:w="96" w:type="dxa"/>
            <w:tcBorders>
              <w:top w:val="single" w:sz="6" w:space="0" w:color="auto"/>
              <w:left w:val="nil"/>
              <w:bottom w:val="nil"/>
              <w:right w:val="nil"/>
            </w:tcBorders>
            <w:shd w:val="clear" w:color="auto" w:fill="auto"/>
          </w:tcPr>
          <w:p w:rsidR="00C93F0F" w:rsidRPr="00227C94" w:rsidRDefault="00C93F0F" w:rsidP="00821069">
            <w:pPr>
              <w:pStyle w:val="tblHeaderText"/>
            </w:pPr>
          </w:p>
        </w:tc>
        <w:tc>
          <w:tcPr>
            <w:tcW w:w="1165" w:type="dxa"/>
            <w:tcBorders>
              <w:top w:val="single" w:sz="6" w:space="0" w:color="auto"/>
              <w:left w:val="nil"/>
              <w:bottom w:val="single" w:sz="6" w:space="0" w:color="auto"/>
              <w:right w:val="nil"/>
            </w:tcBorders>
            <w:shd w:val="clear" w:color="auto" w:fill="auto"/>
          </w:tcPr>
          <w:p w:rsidR="00C93F0F" w:rsidRPr="00227C94" w:rsidRDefault="00C93F0F" w:rsidP="00821069">
            <w:pPr>
              <w:pStyle w:val="tblHeaderText"/>
            </w:pPr>
            <w:r w:rsidRPr="00227C94">
              <w:t>2011</w:t>
            </w:r>
          </w:p>
        </w:tc>
        <w:tc>
          <w:tcPr>
            <w:tcW w:w="96" w:type="dxa"/>
            <w:tcBorders>
              <w:top w:val="nil"/>
              <w:left w:val="nil"/>
              <w:right w:val="nil"/>
            </w:tcBorders>
          </w:tcPr>
          <w:p w:rsidR="00C93F0F" w:rsidRPr="00227C94" w:rsidRDefault="00C93F0F" w:rsidP="00821069">
            <w:pPr>
              <w:pStyle w:val="tblHeaderText"/>
            </w:pPr>
          </w:p>
        </w:tc>
        <w:tc>
          <w:tcPr>
            <w:tcW w:w="1165" w:type="dxa"/>
            <w:tcBorders>
              <w:top w:val="nil"/>
              <w:left w:val="nil"/>
              <w:bottom w:val="single" w:sz="6" w:space="0" w:color="auto"/>
              <w:right w:val="nil"/>
            </w:tcBorders>
            <w:shd w:val="clear" w:color="auto" w:fill="auto"/>
          </w:tcPr>
          <w:p w:rsidR="00C93F0F" w:rsidRPr="00227C94" w:rsidRDefault="00C93F0F" w:rsidP="00821069">
            <w:pPr>
              <w:pStyle w:val="tblHeaderText"/>
            </w:pPr>
            <w:r w:rsidRPr="00227C94">
              <w:t>p-o-p</w:t>
            </w:r>
          </w:p>
        </w:tc>
        <w:tc>
          <w:tcPr>
            <w:tcW w:w="96" w:type="dxa"/>
            <w:tcBorders>
              <w:top w:val="nil"/>
              <w:left w:val="nil"/>
              <w:right w:val="nil"/>
            </w:tcBorders>
          </w:tcPr>
          <w:p w:rsidR="00C93F0F" w:rsidRPr="00227C94" w:rsidRDefault="00C93F0F" w:rsidP="00821069">
            <w:pPr>
              <w:pStyle w:val="tblHeaderText"/>
            </w:pPr>
          </w:p>
        </w:tc>
        <w:tc>
          <w:tcPr>
            <w:tcW w:w="1165" w:type="dxa"/>
            <w:tcBorders>
              <w:top w:val="nil"/>
              <w:left w:val="nil"/>
              <w:bottom w:val="single" w:sz="6" w:space="0" w:color="auto"/>
              <w:right w:val="nil"/>
            </w:tcBorders>
            <w:shd w:val="clear" w:color="auto" w:fill="auto"/>
          </w:tcPr>
          <w:p w:rsidR="00C93F0F" w:rsidRPr="00227C94" w:rsidRDefault="00C93F0F" w:rsidP="00821069">
            <w:pPr>
              <w:pStyle w:val="tblHeaderText"/>
            </w:pPr>
            <w:r w:rsidRPr="00227C94">
              <w:t>2011</w:t>
            </w:r>
          </w:p>
        </w:tc>
      </w:tr>
      <w:tr w:rsidR="00C93F0F" w:rsidRPr="00227C94" w:rsidTr="00A701F4">
        <w:trPr>
          <w:cantSplit/>
        </w:trPr>
        <w:tc>
          <w:tcPr>
            <w:tcW w:w="3287" w:type="dxa"/>
            <w:tcBorders>
              <w:top w:val="nil"/>
              <w:left w:val="nil"/>
              <w:bottom w:val="nil"/>
              <w:right w:val="nil"/>
            </w:tcBorders>
          </w:tcPr>
          <w:p w:rsidR="00C93F0F" w:rsidRPr="00227C94" w:rsidRDefault="00C93F0F" w:rsidP="00C93F0F">
            <w:pPr>
              <w:pStyle w:val="tblHeaderText"/>
              <w:jc w:val="left"/>
            </w:pPr>
          </w:p>
        </w:tc>
        <w:tc>
          <w:tcPr>
            <w:tcW w:w="700" w:type="dxa"/>
            <w:tcBorders>
              <w:top w:val="nil"/>
              <w:left w:val="nil"/>
              <w:bottom w:val="nil"/>
              <w:right w:val="nil"/>
            </w:tcBorders>
          </w:tcPr>
          <w:p w:rsidR="00C93F0F" w:rsidRPr="00227C94" w:rsidRDefault="00C93F0F" w:rsidP="00C93F0F">
            <w:pPr>
              <w:pStyle w:val="tblHeaderText"/>
            </w:pPr>
          </w:p>
        </w:tc>
        <w:tc>
          <w:tcPr>
            <w:tcW w:w="1165" w:type="dxa"/>
            <w:tcBorders>
              <w:top w:val="single" w:sz="6" w:space="0" w:color="auto"/>
              <w:left w:val="nil"/>
              <w:bottom w:val="nil"/>
              <w:right w:val="nil"/>
            </w:tcBorders>
            <w:shd w:val="clear" w:color="auto" w:fill="auto"/>
          </w:tcPr>
          <w:p w:rsidR="00C93F0F" w:rsidRPr="00227C94" w:rsidRDefault="00C93F0F" w:rsidP="00C93F0F">
            <w:pPr>
              <w:pStyle w:val="tblHeaderText"/>
            </w:pPr>
          </w:p>
        </w:tc>
        <w:tc>
          <w:tcPr>
            <w:tcW w:w="96" w:type="dxa"/>
            <w:tcBorders>
              <w:top w:val="nil"/>
              <w:left w:val="nil"/>
              <w:bottom w:val="nil"/>
              <w:right w:val="nil"/>
            </w:tcBorders>
          </w:tcPr>
          <w:p w:rsidR="00C93F0F" w:rsidRPr="00227C94" w:rsidRDefault="00C93F0F" w:rsidP="00C93F0F">
            <w:pPr>
              <w:pStyle w:val="tblHeaderText"/>
            </w:pPr>
          </w:p>
        </w:tc>
        <w:tc>
          <w:tcPr>
            <w:tcW w:w="1165" w:type="dxa"/>
            <w:tcBorders>
              <w:top w:val="single" w:sz="6" w:space="0" w:color="auto"/>
              <w:left w:val="nil"/>
              <w:bottom w:val="nil"/>
              <w:right w:val="nil"/>
            </w:tcBorders>
            <w:shd w:val="clear" w:color="auto" w:fill="auto"/>
          </w:tcPr>
          <w:p w:rsidR="00C93F0F" w:rsidRPr="00227C94" w:rsidRDefault="00C93F0F" w:rsidP="00C93F0F">
            <w:pPr>
              <w:pStyle w:val="tblHeaderText"/>
            </w:pPr>
          </w:p>
        </w:tc>
        <w:tc>
          <w:tcPr>
            <w:tcW w:w="96" w:type="dxa"/>
            <w:tcBorders>
              <w:left w:val="nil"/>
              <w:bottom w:val="nil"/>
              <w:right w:val="nil"/>
            </w:tcBorders>
            <w:shd w:val="clear" w:color="auto" w:fill="auto"/>
          </w:tcPr>
          <w:p w:rsidR="00C93F0F" w:rsidRPr="00227C94" w:rsidRDefault="00C93F0F" w:rsidP="00C93F0F">
            <w:pPr>
              <w:pStyle w:val="tblHeaderText"/>
            </w:pPr>
          </w:p>
        </w:tc>
        <w:tc>
          <w:tcPr>
            <w:tcW w:w="1165" w:type="dxa"/>
            <w:tcBorders>
              <w:top w:val="single" w:sz="6" w:space="0" w:color="auto"/>
              <w:left w:val="nil"/>
              <w:bottom w:val="nil"/>
              <w:right w:val="nil"/>
            </w:tcBorders>
            <w:shd w:val="clear" w:color="auto" w:fill="auto"/>
          </w:tcPr>
          <w:p w:rsidR="00C93F0F" w:rsidRPr="00227C94" w:rsidRDefault="00C93F0F" w:rsidP="00C93F0F">
            <w:pPr>
              <w:pStyle w:val="tblHeaderText"/>
            </w:pPr>
          </w:p>
        </w:tc>
        <w:tc>
          <w:tcPr>
            <w:tcW w:w="96" w:type="dxa"/>
            <w:tcBorders>
              <w:left w:val="nil"/>
              <w:bottom w:val="nil"/>
              <w:right w:val="nil"/>
            </w:tcBorders>
            <w:shd w:val="clear" w:color="auto" w:fill="auto"/>
          </w:tcPr>
          <w:p w:rsidR="00C93F0F" w:rsidRPr="00227C94" w:rsidRDefault="00C93F0F" w:rsidP="00C93F0F">
            <w:pPr>
              <w:pStyle w:val="tblHeaderText"/>
            </w:pPr>
          </w:p>
        </w:tc>
        <w:tc>
          <w:tcPr>
            <w:tcW w:w="1165" w:type="dxa"/>
            <w:tcBorders>
              <w:top w:val="single" w:sz="6" w:space="0" w:color="auto"/>
              <w:left w:val="nil"/>
              <w:bottom w:val="nil"/>
              <w:right w:val="nil"/>
            </w:tcBorders>
            <w:shd w:val="clear" w:color="auto" w:fill="auto"/>
          </w:tcPr>
          <w:p w:rsidR="00C93F0F" w:rsidRPr="00227C94" w:rsidRDefault="00C93F0F" w:rsidP="00C93F0F">
            <w:pPr>
              <w:pStyle w:val="tblHeaderText"/>
            </w:pPr>
          </w:p>
        </w:tc>
      </w:tr>
      <w:tr w:rsidR="00C93F0F" w:rsidRPr="00227C94" w:rsidTr="00C93F0F">
        <w:trPr>
          <w:cantSplit/>
        </w:trPr>
        <w:tc>
          <w:tcPr>
            <w:tcW w:w="3287" w:type="dxa"/>
            <w:tcBorders>
              <w:top w:val="nil"/>
              <w:left w:val="nil"/>
              <w:bottom w:val="nil"/>
              <w:right w:val="nil"/>
            </w:tcBorders>
          </w:tcPr>
          <w:p w:rsidR="00C93F0F" w:rsidRPr="00227C94" w:rsidRDefault="00C93F0F" w:rsidP="00C93F0F">
            <w:pPr>
              <w:pStyle w:val="tblText02"/>
              <w:rPr>
                <w:b/>
                <w:vertAlign w:val="superscript"/>
              </w:rPr>
            </w:pPr>
            <w:r w:rsidRPr="00227C94">
              <w:rPr>
                <w:b/>
              </w:rPr>
              <w:t>Adjusted EBITDA</w:t>
            </w:r>
            <w:r w:rsidRPr="00227C94">
              <w:rPr>
                <w:b/>
                <w:vertAlign w:val="superscript"/>
              </w:rPr>
              <w:t>(3)</w:t>
            </w:r>
          </w:p>
        </w:tc>
        <w:tc>
          <w:tcPr>
            <w:tcW w:w="700" w:type="dxa"/>
            <w:tcBorders>
              <w:top w:val="nil"/>
              <w:left w:val="nil"/>
              <w:bottom w:val="nil"/>
              <w:right w:val="nil"/>
            </w:tcBorders>
            <w:vAlign w:val="bottom"/>
          </w:tcPr>
          <w:p w:rsidR="00C93F0F" w:rsidRPr="00227C94" w:rsidRDefault="00C93F0F" w:rsidP="00C93F0F">
            <w:pPr>
              <w:pStyle w:val="tblNumber01"/>
              <w:rPr>
                <w:b/>
              </w:rPr>
            </w:pPr>
            <w:r w:rsidRPr="00227C94">
              <w:rPr>
                <w:b/>
              </w:rPr>
              <w:t>3.1</w:t>
            </w:r>
          </w:p>
        </w:tc>
        <w:tc>
          <w:tcPr>
            <w:tcW w:w="1165" w:type="dxa"/>
            <w:tcBorders>
              <w:top w:val="nil"/>
              <w:left w:val="nil"/>
              <w:bottom w:val="nil"/>
              <w:right w:val="nil"/>
            </w:tcBorders>
            <w:vAlign w:val="bottom"/>
          </w:tcPr>
          <w:p w:rsidR="00C93F0F" w:rsidRPr="00227C94" w:rsidRDefault="00C93F0F" w:rsidP="00C93F0F">
            <w:pPr>
              <w:pStyle w:val="tblNumber01"/>
              <w:rPr>
                <w:b/>
              </w:rPr>
            </w:pPr>
            <w:r w:rsidRPr="00227C94">
              <w:rPr>
                <w:b/>
              </w:rPr>
              <w:t>634,275</w:t>
            </w:r>
          </w:p>
        </w:tc>
        <w:tc>
          <w:tcPr>
            <w:tcW w:w="96" w:type="dxa"/>
            <w:tcBorders>
              <w:top w:val="nil"/>
              <w:left w:val="nil"/>
              <w:bottom w:val="nil"/>
              <w:right w:val="nil"/>
            </w:tcBorders>
            <w:vAlign w:val="bottom"/>
          </w:tcPr>
          <w:p w:rsidR="00C93F0F" w:rsidRPr="00227C94" w:rsidRDefault="00C93F0F" w:rsidP="00C93F0F">
            <w:pPr>
              <w:pStyle w:val="tblNumber01"/>
            </w:pPr>
          </w:p>
        </w:tc>
        <w:tc>
          <w:tcPr>
            <w:tcW w:w="1165" w:type="dxa"/>
            <w:tcBorders>
              <w:top w:val="nil"/>
              <w:left w:val="nil"/>
              <w:bottom w:val="nil"/>
              <w:right w:val="nil"/>
            </w:tcBorders>
            <w:vAlign w:val="bottom"/>
          </w:tcPr>
          <w:p w:rsidR="00C93F0F" w:rsidRPr="00227C94" w:rsidRDefault="00C93F0F" w:rsidP="00C93F0F">
            <w:pPr>
              <w:pStyle w:val="tblNumber01"/>
              <w:rPr>
                <w:b/>
              </w:rPr>
            </w:pPr>
            <w:r w:rsidRPr="00227C94">
              <w:rPr>
                <w:b/>
              </w:rPr>
              <w:t>398,644</w:t>
            </w:r>
          </w:p>
        </w:tc>
        <w:tc>
          <w:tcPr>
            <w:tcW w:w="96" w:type="dxa"/>
            <w:tcBorders>
              <w:top w:val="nil"/>
              <w:left w:val="nil"/>
              <w:bottom w:val="nil"/>
              <w:right w:val="nil"/>
            </w:tcBorders>
            <w:vAlign w:val="bottom"/>
          </w:tcPr>
          <w:p w:rsidR="00C93F0F" w:rsidRPr="00227C94" w:rsidRDefault="00C93F0F" w:rsidP="00C93F0F">
            <w:pPr>
              <w:pStyle w:val="tblNumber01"/>
            </w:pPr>
          </w:p>
        </w:tc>
        <w:tc>
          <w:tcPr>
            <w:tcW w:w="1165" w:type="dxa"/>
            <w:tcBorders>
              <w:top w:val="nil"/>
              <w:left w:val="nil"/>
              <w:bottom w:val="nil"/>
              <w:right w:val="nil"/>
            </w:tcBorders>
            <w:vAlign w:val="bottom"/>
          </w:tcPr>
          <w:p w:rsidR="00C93F0F" w:rsidRPr="00227C94" w:rsidRDefault="00C93F0F" w:rsidP="00C93F0F">
            <w:pPr>
              <w:pStyle w:val="tblNumber01"/>
              <w:rPr>
                <w:b/>
              </w:rPr>
            </w:pPr>
            <w:r w:rsidRPr="00227C94">
              <w:rPr>
                <w:b/>
              </w:rPr>
              <w:t>59</w:t>
            </w:r>
          </w:p>
        </w:tc>
        <w:tc>
          <w:tcPr>
            <w:tcW w:w="96" w:type="dxa"/>
            <w:tcBorders>
              <w:top w:val="nil"/>
              <w:left w:val="nil"/>
              <w:bottom w:val="nil"/>
              <w:right w:val="nil"/>
            </w:tcBorders>
            <w:vAlign w:val="bottom"/>
          </w:tcPr>
          <w:p w:rsidR="00C93F0F" w:rsidRPr="00227C94" w:rsidRDefault="00C93F0F" w:rsidP="00C93F0F">
            <w:pPr>
              <w:pStyle w:val="tblNumber01"/>
            </w:pPr>
          </w:p>
        </w:tc>
        <w:tc>
          <w:tcPr>
            <w:tcW w:w="1165" w:type="dxa"/>
            <w:tcBorders>
              <w:top w:val="nil"/>
              <w:left w:val="nil"/>
              <w:bottom w:val="nil"/>
              <w:right w:val="nil"/>
            </w:tcBorders>
            <w:vAlign w:val="bottom"/>
          </w:tcPr>
          <w:p w:rsidR="00C93F0F" w:rsidRPr="00227C94" w:rsidRDefault="00C93F0F" w:rsidP="00C93F0F">
            <w:pPr>
              <w:pStyle w:val="tblNumber01"/>
              <w:rPr>
                <w:b/>
              </w:rPr>
            </w:pPr>
            <w:r w:rsidRPr="00227C94">
              <w:rPr>
                <w:b/>
              </w:rPr>
              <w:t>1,110,745</w:t>
            </w:r>
          </w:p>
        </w:tc>
      </w:tr>
      <w:tr w:rsidR="00C93F0F" w:rsidRPr="00227C94" w:rsidTr="00C93F0F">
        <w:trPr>
          <w:cantSplit/>
        </w:trPr>
        <w:tc>
          <w:tcPr>
            <w:tcW w:w="3287" w:type="dxa"/>
            <w:tcBorders>
              <w:top w:val="nil"/>
              <w:left w:val="nil"/>
              <w:bottom w:val="nil"/>
              <w:right w:val="nil"/>
            </w:tcBorders>
          </w:tcPr>
          <w:p w:rsidR="00C93F0F" w:rsidRPr="00227C94" w:rsidRDefault="00C93F0F" w:rsidP="00C93F0F">
            <w:pPr>
              <w:pStyle w:val="tblText02"/>
              <w:rPr>
                <w:i/>
              </w:rPr>
            </w:pPr>
            <w:r w:rsidRPr="00227C94">
              <w:rPr>
                <w:i/>
              </w:rPr>
              <w:t>Adjusted EBITDA margin</w:t>
            </w:r>
          </w:p>
        </w:tc>
        <w:tc>
          <w:tcPr>
            <w:tcW w:w="700" w:type="dxa"/>
            <w:tcBorders>
              <w:top w:val="nil"/>
              <w:left w:val="nil"/>
              <w:bottom w:val="nil"/>
              <w:right w:val="nil"/>
            </w:tcBorders>
            <w:vAlign w:val="bottom"/>
          </w:tcPr>
          <w:p w:rsidR="00C93F0F" w:rsidRPr="00227C94" w:rsidRDefault="00C93F0F" w:rsidP="00C93F0F">
            <w:pPr>
              <w:pStyle w:val="tblNumber01"/>
            </w:pPr>
          </w:p>
        </w:tc>
        <w:tc>
          <w:tcPr>
            <w:tcW w:w="1165" w:type="dxa"/>
            <w:tcBorders>
              <w:top w:val="nil"/>
              <w:left w:val="nil"/>
              <w:bottom w:val="nil"/>
              <w:right w:val="nil"/>
            </w:tcBorders>
            <w:vAlign w:val="bottom"/>
          </w:tcPr>
          <w:p w:rsidR="00C93F0F" w:rsidRPr="00227C94" w:rsidRDefault="00C93F0F" w:rsidP="00C93F0F">
            <w:pPr>
              <w:pStyle w:val="tblNumber01"/>
              <w:rPr>
                <w:i/>
              </w:rPr>
            </w:pPr>
            <w:r w:rsidRPr="00227C94">
              <w:rPr>
                <w:i/>
              </w:rPr>
              <w:t>51%</w:t>
            </w:r>
          </w:p>
        </w:tc>
        <w:tc>
          <w:tcPr>
            <w:tcW w:w="96" w:type="dxa"/>
            <w:tcBorders>
              <w:top w:val="nil"/>
              <w:left w:val="nil"/>
              <w:bottom w:val="nil"/>
              <w:right w:val="nil"/>
            </w:tcBorders>
            <w:vAlign w:val="bottom"/>
          </w:tcPr>
          <w:p w:rsidR="00C93F0F" w:rsidRPr="00227C94" w:rsidRDefault="00C93F0F" w:rsidP="00C93F0F">
            <w:pPr>
              <w:pStyle w:val="tblNumber01"/>
            </w:pPr>
          </w:p>
        </w:tc>
        <w:tc>
          <w:tcPr>
            <w:tcW w:w="1165" w:type="dxa"/>
            <w:tcBorders>
              <w:top w:val="nil"/>
              <w:left w:val="nil"/>
              <w:bottom w:val="nil"/>
              <w:right w:val="nil"/>
            </w:tcBorders>
            <w:vAlign w:val="bottom"/>
          </w:tcPr>
          <w:p w:rsidR="00C93F0F" w:rsidRPr="00227C94" w:rsidRDefault="00C93F0F" w:rsidP="00C93F0F">
            <w:pPr>
              <w:pStyle w:val="tblNumber01"/>
              <w:rPr>
                <w:i/>
              </w:rPr>
            </w:pPr>
            <w:r w:rsidRPr="00227C94">
              <w:rPr>
                <w:i/>
              </w:rPr>
              <w:t>43%</w:t>
            </w:r>
          </w:p>
        </w:tc>
        <w:tc>
          <w:tcPr>
            <w:tcW w:w="96" w:type="dxa"/>
            <w:tcBorders>
              <w:top w:val="nil"/>
              <w:left w:val="nil"/>
              <w:bottom w:val="nil"/>
              <w:right w:val="nil"/>
            </w:tcBorders>
            <w:vAlign w:val="bottom"/>
          </w:tcPr>
          <w:p w:rsidR="00C93F0F" w:rsidRPr="00227C94" w:rsidRDefault="00C93F0F" w:rsidP="00C93F0F">
            <w:pPr>
              <w:pStyle w:val="tblNumber01"/>
            </w:pPr>
          </w:p>
        </w:tc>
        <w:tc>
          <w:tcPr>
            <w:tcW w:w="1165" w:type="dxa"/>
            <w:tcBorders>
              <w:top w:val="nil"/>
              <w:left w:val="nil"/>
              <w:bottom w:val="nil"/>
              <w:right w:val="nil"/>
            </w:tcBorders>
            <w:vAlign w:val="bottom"/>
          </w:tcPr>
          <w:p w:rsidR="00C93F0F" w:rsidRPr="00227C94" w:rsidRDefault="00C93F0F" w:rsidP="00C93F0F">
            <w:pPr>
              <w:pStyle w:val="tblNumberDash"/>
              <w:rPr>
                <w:i/>
              </w:rPr>
            </w:pPr>
            <w:r w:rsidRPr="00227C94">
              <w:rPr>
                <w:i/>
              </w:rPr>
              <w:t>-</w:t>
            </w:r>
          </w:p>
        </w:tc>
        <w:tc>
          <w:tcPr>
            <w:tcW w:w="96" w:type="dxa"/>
            <w:tcBorders>
              <w:top w:val="nil"/>
              <w:left w:val="nil"/>
              <w:bottom w:val="nil"/>
              <w:right w:val="nil"/>
            </w:tcBorders>
            <w:vAlign w:val="bottom"/>
          </w:tcPr>
          <w:p w:rsidR="00C93F0F" w:rsidRPr="00227C94" w:rsidRDefault="00C93F0F" w:rsidP="00C93F0F">
            <w:pPr>
              <w:pStyle w:val="tblNumber01"/>
            </w:pPr>
          </w:p>
        </w:tc>
        <w:tc>
          <w:tcPr>
            <w:tcW w:w="1165" w:type="dxa"/>
            <w:tcBorders>
              <w:top w:val="nil"/>
              <w:left w:val="nil"/>
              <w:bottom w:val="nil"/>
              <w:right w:val="nil"/>
            </w:tcBorders>
            <w:vAlign w:val="bottom"/>
          </w:tcPr>
          <w:p w:rsidR="00C93F0F" w:rsidRPr="00227C94" w:rsidRDefault="00C93F0F" w:rsidP="00C93F0F">
            <w:pPr>
              <w:pStyle w:val="tblNumber01"/>
              <w:rPr>
                <w:i/>
              </w:rPr>
            </w:pPr>
            <w:r w:rsidRPr="00227C94">
              <w:rPr>
                <w:i/>
              </w:rPr>
              <w:t>46%</w:t>
            </w:r>
          </w:p>
        </w:tc>
      </w:tr>
    </w:tbl>
    <w:p w:rsidR="00C93F0F" w:rsidRPr="00227C94" w:rsidRDefault="00C93F0F" w:rsidP="00C93F0F">
      <w:pPr>
        <w:pStyle w:val="23"/>
        <w:rPr>
          <w:color w:val="auto"/>
          <w:sz w:val="18"/>
          <w:lang w:val="en-US"/>
        </w:rPr>
      </w:pPr>
      <w:r w:rsidRPr="00227C94">
        <w:rPr>
          <w:color w:val="auto"/>
          <w:lang w:val="en-US"/>
        </w:rPr>
        <w:t>_______________________________</w:t>
      </w:r>
    </w:p>
    <w:p w:rsidR="00916675" w:rsidRPr="00227C94" w:rsidRDefault="00916675" w:rsidP="002E73D5">
      <w:pPr>
        <w:pStyle w:val="2"/>
        <w:numPr>
          <w:ilvl w:val="0"/>
          <w:numId w:val="20"/>
        </w:numPr>
        <w:rPr>
          <w:sz w:val="18"/>
          <w:lang w:val="en-US"/>
        </w:rPr>
      </w:pPr>
      <w:bookmarkStart w:id="76" w:name="_DV_M102"/>
      <w:bookmarkStart w:id="77" w:name="_DV_M103"/>
      <w:bookmarkEnd w:id="76"/>
      <w:bookmarkEnd w:id="77"/>
      <w:r w:rsidRPr="00227C94">
        <w:rPr>
          <w:sz w:val="18"/>
          <w:lang w:val="en-US"/>
        </w:rPr>
        <w:t>Calculation may not be precise due to rounding</w:t>
      </w:r>
      <w:r w:rsidR="00C93F0F" w:rsidRPr="00227C94">
        <w:rPr>
          <w:sz w:val="18"/>
          <w:lang w:val="en-US"/>
        </w:rPr>
        <w:t>.</w:t>
      </w:r>
    </w:p>
    <w:p w:rsidR="00916675" w:rsidRPr="00227C94" w:rsidRDefault="00916675" w:rsidP="002E73D5">
      <w:pPr>
        <w:pStyle w:val="2"/>
        <w:numPr>
          <w:ilvl w:val="0"/>
          <w:numId w:val="20"/>
        </w:numPr>
        <w:rPr>
          <w:sz w:val="18"/>
        </w:rPr>
      </w:pPr>
      <w:r w:rsidRPr="00227C94">
        <w:rPr>
          <w:sz w:val="18"/>
          <w:lang w:val="en-US"/>
        </w:rPr>
        <w:t xml:space="preserve">The weighted average number of shares for the six months ended 30 June 2011 changed from </w:t>
      </w:r>
      <w:r w:rsidR="00C93F0F" w:rsidRPr="00227C94">
        <w:rPr>
          <w:sz w:val="18"/>
          <w:lang w:val="en-US"/>
        </w:rPr>
        <w:br/>
      </w:r>
      <w:r w:rsidRPr="00227C94">
        <w:rPr>
          <w:sz w:val="18"/>
          <w:lang w:val="en-US"/>
        </w:rPr>
        <w:t xml:space="preserve">2,498,941 thousand to 3,082,656 thousand shares following the completion of the reverse takeover procedures. </w:t>
      </w:r>
      <w:r w:rsidRPr="00227C94">
        <w:rPr>
          <w:sz w:val="18"/>
        </w:rPr>
        <w:t>EPS changed from 8 to 6 US Cents per share, correspondently</w:t>
      </w:r>
      <w:r w:rsidR="00C93F0F" w:rsidRPr="00227C94">
        <w:rPr>
          <w:sz w:val="18"/>
          <w:lang w:val="en-US"/>
        </w:rPr>
        <w:t>.</w:t>
      </w:r>
    </w:p>
    <w:p w:rsidR="00916675" w:rsidRPr="00227C94" w:rsidRDefault="00916675" w:rsidP="002E73D5">
      <w:pPr>
        <w:pStyle w:val="2"/>
        <w:numPr>
          <w:ilvl w:val="0"/>
          <w:numId w:val="20"/>
        </w:numPr>
        <w:rPr>
          <w:sz w:val="16"/>
          <w:szCs w:val="18"/>
          <w:lang w:val="en-US"/>
        </w:rPr>
      </w:pPr>
      <w:r w:rsidRPr="00227C94">
        <w:rPr>
          <w:sz w:val="18"/>
          <w:lang w:val="en-US"/>
        </w:rPr>
        <w:t>For details of the calculation of Adjusted EBITDA refer to section 2.1 of this document.</w:t>
      </w:r>
      <w:bookmarkStart w:id="78" w:name="_DV_M104"/>
      <w:bookmarkEnd w:id="78"/>
    </w:p>
    <w:p w:rsidR="00916675" w:rsidRPr="00227C94" w:rsidRDefault="00C93F0F" w:rsidP="00C93F0F">
      <w:pPr>
        <w:pStyle w:val="22"/>
        <w:rPr>
          <w:lang w:val="en-US"/>
        </w:rPr>
      </w:pPr>
      <w:bookmarkStart w:id="79" w:name="_Toc304205600"/>
      <w:r w:rsidRPr="00227C94">
        <w:rPr>
          <w:lang w:val="en-US"/>
        </w:rPr>
        <w:br w:type="page"/>
      </w:r>
      <w:r w:rsidR="00916675" w:rsidRPr="00227C94">
        <w:lastRenderedPageBreak/>
        <w:t>1.2 Gold sales</w:t>
      </w:r>
      <w:bookmarkStart w:id="80" w:name="_Toc303889382"/>
      <w:bookmarkEnd w:id="79"/>
      <w:bookmarkEnd w:id="80"/>
    </w:p>
    <w:p w:rsidR="00C93F0F" w:rsidRPr="00227C94" w:rsidRDefault="00C93F0F" w:rsidP="00C93F0F">
      <w:pPr>
        <w:pStyle w:val="23"/>
        <w:rPr>
          <w:color w:val="auto"/>
          <w:lang w:val="en-US"/>
        </w:rPr>
      </w:pPr>
    </w:p>
    <w:p w:rsidR="00916675" w:rsidRPr="00227C94" w:rsidRDefault="00916675" w:rsidP="00C93F0F">
      <w:pPr>
        <w:pStyle w:val="23"/>
        <w:rPr>
          <w:color w:val="auto"/>
          <w:lang w:val="en-US"/>
        </w:rPr>
      </w:pPr>
      <w:bookmarkStart w:id="81" w:name="_DV_M106"/>
      <w:bookmarkEnd w:id="81"/>
      <w:r w:rsidRPr="00227C94">
        <w:rPr>
          <w:color w:val="auto"/>
          <w:spacing w:val="-2"/>
          <w:lang w:val="en-US"/>
        </w:rPr>
        <w:t xml:space="preserve">The following table shows the results and breakdown of the Group’s gold sales for the 6 months ended </w:t>
      </w:r>
      <w:r w:rsidRPr="00227C94">
        <w:rPr>
          <w:color w:val="auto"/>
          <w:lang w:val="en-US"/>
        </w:rPr>
        <w:t xml:space="preserve">30 June 2012 and 30 June 2011, and for the year ended 31 December </w:t>
      </w:r>
      <w:r w:rsidR="00C93F0F" w:rsidRPr="00227C94">
        <w:rPr>
          <w:color w:val="auto"/>
          <w:lang w:val="en-US"/>
        </w:rPr>
        <w:t>2011:</w:t>
      </w:r>
    </w:p>
    <w:p w:rsidR="00C93F0F" w:rsidRPr="00227C94" w:rsidRDefault="00C93F0F" w:rsidP="00C93F0F">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2928"/>
        <w:gridCol w:w="1417"/>
        <w:gridCol w:w="113"/>
        <w:gridCol w:w="1417"/>
        <w:gridCol w:w="113"/>
        <w:gridCol w:w="1417"/>
        <w:gridCol w:w="113"/>
        <w:gridCol w:w="1417"/>
      </w:tblGrid>
      <w:tr w:rsidR="00C93F0F" w:rsidRPr="00227C94" w:rsidTr="00A701F4">
        <w:trPr>
          <w:cantSplit/>
        </w:trPr>
        <w:tc>
          <w:tcPr>
            <w:tcW w:w="2928" w:type="dxa"/>
            <w:tcBorders>
              <w:top w:val="nil"/>
              <w:left w:val="nil"/>
              <w:bottom w:val="nil"/>
              <w:right w:val="nil"/>
            </w:tcBorders>
          </w:tcPr>
          <w:p w:rsidR="00C93F0F" w:rsidRPr="00227C94" w:rsidRDefault="00C93F0F" w:rsidP="00C93F0F">
            <w:pPr>
              <w:pStyle w:val="tblHeaderText"/>
              <w:jc w:val="left"/>
              <w:rPr>
                <w:lang w:val="en-US"/>
              </w:rPr>
            </w:pPr>
          </w:p>
        </w:tc>
        <w:tc>
          <w:tcPr>
            <w:tcW w:w="2947" w:type="dxa"/>
            <w:gridSpan w:val="3"/>
            <w:tcBorders>
              <w:top w:val="nil"/>
              <w:left w:val="nil"/>
              <w:bottom w:val="single" w:sz="6" w:space="0" w:color="auto"/>
              <w:right w:val="nil"/>
            </w:tcBorders>
            <w:shd w:val="clear" w:color="auto" w:fill="auto"/>
            <w:vAlign w:val="bottom"/>
          </w:tcPr>
          <w:p w:rsidR="00C93F0F" w:rsidRPr="00227C94" w:rsidRDefault="00C93F0F" w:rsidP="00C93F0F">
            <w:pPr>
              <w:pStyle w:val="tblHeaderText"/>
            </w:pPr>
            <w:r w:rsidRPr="00227C94">
              <w:t>Six months ended 30 June</w:t>
            </w:r>
          </w:p>
        </w:tc>
        <w:tc>
          <w:tcPr>
            <w:tcW w:w="113" w:type="dxa"/>
            <w:tcBorders>
              <w:top w:val="nil"/>
              <w:left w:val="nil"/>
              <w:bottom w:val="nil"/>
              <w:right w:val="nil"/>
            </w:tcBorders>
          </w:tcPr>
          <w:p w:rsidR="00C93F0F" w:rsidRPr="00227C94" w:rsidRDefault="00C93F0F" w:rsidP="00C93F0F">
            <w:pPr>
              <w:pStyle w:val="tblHeaderText"/>
            </w:pPr>
          </w:p>
        </w:tc>
        <w:tc>
          <w:tcPr>
            <w:tcW w:w="1417" w:type="dxa"/>
            <w:tcBorders>
              <w:top w:val="nil"/>
              <w:left w:val="nil"/>
              <w:right w:val="nil"/>
            </w:tcBorders>
            <w:vAlign w:val="bottom"/>
          </w:tcPr>
          <w:p w:rsidR="00EA241F" w:rsidRPr="00227C94" w:rsidRDefault="00C93F0F" w:rsidP="00C93F0F">
            <w:pPr>
              <w:pStyle w:val="tblHeaderText"/>
              <w:rPr>
                <w:lang w:val="en-US"/>
              </w:rPr>
            </w:pPr>
            <w:r w:rsidRPr="00227C94">
              <w:t xml:space="preserve">% </w:t>
            </w:r>
          </w:p>
          <w:p w:rsidR="00C93F0F" w:rsidRPr="00227C94" w:rsidRDefault="00C93F0F" w:rsidP="00C93F0F">
            <w:pPr>
              <w:pStyle w:val="tblHeaderText"/>
            </w:pPr>
            <w:r w:rsidRPr="00227C94">
              <w:t>change</w:t>
            </w:r>
          </w:p>
        </w:tc>
        <w:tc>
          <w:tcPr>
            <w:tcW w:w="113" w:type="dxa"/>
            <w:tcBorders>
              <w:top w:val="nil"/>
              <w:left w:val="nil"/>
              <w:bottom w:val="nil"/>
              <w:right w:val="nil"/>
            </w:tcBorders>
          </w:tcPr>
          <w:p w:rsidR="00C93F0F" w:rsidRPr="00227C94" w:rsidRDefault="00C93F0F" w:rsidP="00C93F0F">
            <w:pPr>
              <w:pStyle w:val="tblHeaderText"/>
            </w:pPr>
          </w:p>
        </w:tc>
        <w:tc>
          <w:tcPr>
            <w:tcW w:w="1417" w:type="dxa"/>
            <w:tcBorders>
              <w:top w:val="nil"/>
              <w:left w:val="nil"/>
              <w:right w:val="nil"/>
            </w:tcBorders>
          </w:tcPr>
          <w:p w:rsidR="00C93F0F" w:rsidRPr="00227C94" w:rsidRDefault="00C93F0F" w:rsidP="00C93F0F">
            <w:pPr>
              <w:pStyle w:val="tblHeaderText"/>
            </w:pPr>
            <w:r w:rsidRPr="00227C94">
              <w:t>Year ended</w:t>
            </w:r>
          </w:p>
          <w:p w:rsidR="00C93F0F" w:rsidRPr="00227C94" w:rsidRDefault="00C93F0F" w:rsidP="00C93F0F">
            <w:pPr>
              <w:pStyle w:val="tblHeaderText"/>
            </w:pPr>
            <w:r w:rsidRPr="00227C94">
              <w:t>31 December</w:t>
            </w:r>
          </w:p>
        </w:tc>
      </w:tr>
      <w:tr w:rsidR="00C93F0F" w:rsidRPr="00227C94" w:rsidTr="00A701F4">
        <w:trPr>
          <w:cantSplit/>
        </w:trPr>
        <w:tc>
          <w:tcPr>
            <w:tcW w:w="2928" w:type="dxa"/>
            <w:tcBorders>
              <w:top w:val="nil"/>
              <w:left w:val="nil"/>
              <w:bottom w:val="nil"/>
              <w:right w:val="nil"/>
            </w:tcBorders>
          </w:tcPr>
          <w:p w:rsidR="00C93F0F" w:rsidRPr="00227C94" w:rsidRDefault="00C93F0F" w:rsidP="00C93F0F">
            <w:pPr>
              <w:pStyle w:val="tblHeaderText"/>
              <w:jc w:val="left"/>
            </w:pPr>
          </w:p>
        </w:tc>
        <w:tc>
          <w:tcPr>
            <w:tcW w:w="1417" w:type="dxa"/>
            <w:tcBorders>
              <w:top w:val="single" w:sz="6" w:space="0" w:color="auto"/>
              <w:left w:val="nil"/>
              <w:bottom w:val="single" w:sz="6" w:space="0" w:color="auto"/>
              <w:right w:val="nil"/>
            </w:tcBorders>
            <w:shd w:val="clear" w:color="auto" w:fill="auto"/>
            <w:vAlign w:val="bottom"/>
          </w:tcPr>
          <w:p w:rsidR="00C93F0F" w:rsidRPr="00227C94" w:rsidRDefault="00C93F0F" w:rsidP="00821069">
            <w:pPr>
              <w:pStyle w:val="tblHeaderText"/>
            </w:pPr>
            <w:r w:rsidRPr="00227C94">
              <w:t>2012</w:t>
            </w:r>
          </w:p>
        </w:tc>
        <w:tc>
          <w:tcPr>
            <w:tcW w:w="113" w:type="dxa"/>
            <w:tcBorders>
              <w:top w:val="single" w:sz="6" w:space="0" w:color="auto"/>
              <w:left w:val="nil"/>
              <w:bottom w:val="nil"/>
              <w:right w:val="nil"/>
            </w:tcBorders>
            <w:shd w:val="clear" w:color="auto" w:fill="auto"/>
          </w:tcPr>
          <w:p w:rsidR="00C93F0F" w:rsidRPr="00227C94" w:rsidRDefault="00C93F0F" w:rsidP="00821069">
            <w:pPr>
              <w:pStyle w:val="tblHeaderText"/>
            </w:pPr>
          </w:p>
        </w:tc>
        <w:tc>
          <w:tcPr>
            <w:tcW w:w="1417" w:type="dxa"/>
            <w:tcBorders>
              <w:top w:val="single" w:sz="6" w:space="0" w:color="auto"/>
              <w:left w:val="nil"/>
              <w:bottom w:val="single" w:sz="6" w:space="0" w:color="auto"/>
              <w:right w:val="nil"/>
            </w:tcBorders>
            <w:shd w:val="clear" w:color="auto" w:fill="auto"/>
            <w:vAlign w:val="bottom"/>
          </w:tcPr>
          <w:p w:rsidR="00C93F0F" w:rsidRPr="00227C94" w:rsidRDefault="00C93F0F" w:rsidP="00821069">
            <w:pPr>
              <w:pStyle w:val="tblHeaderText"/>
            </w:pPr>
            <w:r w:rsidRPr="00227C94">
              <w:t>2011</w:t>
            </w:r>
          </w:p>
        </w:tc>
        <w:tc>
          <w:tcPr>
            <w:tcW w:w="113" w:type="dxa"/>
            <w:tcBorders>
              <w:top w:val="nil"/>
              <w:left w:val="nil"/>
              <w:right w:val="nil"/>
            </w:tcBorders>
          </w:tcPr>
          <w:p w:rsidR="00C93F0F" w:rsidRPr="00227C94" w:rsidRDefault="00C93F0F" w:rsidP="00821069">
            <w:pPr>
              <w:pStyle w:val="tblHeaderText"/>
            </w:pPr>
          </w:p>
        </w:tc>
        <w:tc>
          <w:tcPr>
            <w:tcW w:w="1417" w:type="dxa"/>
            <w:tcBorders>
              <w:top w:val="nil"/>
              <w:left w:val="nil"/>
              <w:bottom w:val="single" w:sz="6" w:space="0" w:color="auto"/>
              <w:right w:val="nil"/>
            </w:tcBorders>
            <w:shd w:val="clear" w:color="auto" w:fill="auto"/>
            <w:vAlign w:val="bottom"/>
          </w:tcPr>
          <w:p w:rsidR="00C93F0F" w:rsidRPr="00227C94" w:rsidRDefault="00C93F0F" w:rsidP="00821069">
            <w:pPr>
              <w:pStyle w:val="tblHeaderText"/>
            </w:pPr>
            <w:r w:rsidRPr="00227C94">
              <w:t>p-o-p</w:t>
            </w:r>
          </w:p>
        </w:tc>
        <w:tc>
          <w:tcPr>
            <w:tcW w:w="113" w:type="dxa"/>
            <w:tcBorders>
              <w:top w:val="nil"/>
              <w:left w:val="nil"/>
              <w:right w:val="nil"/>
            </w:tcBorders>
          </w:tcPr>
          <w:p w:rsidR="00C93F0F" w:rsidRPr="00227C94" w:rsidRDefault="00C93F0F" w:rsidP="00821069">
            <w:pPr>
              <w:pStyle w:val="tblHeaderText"/>
            </w:pPr>
          </w:p>
        </w:tc>
        <w:tc>
          <w:tcPr>
            <w:tcW w:w="1417" w:type="dxa"/>
            <w:tcBorders>
              <w:top w:val="nil"/>
              <w:left w:val="nil"/>
              <w:bottom w:val="single" w:sz="6" w:space="0" w:color="auto"/>
              <w:right w:val="nil"/>
            </w:tcBorders>
            <w:shd w:val="clear" w:color="auto" w:fill="auto"/>
          </w:tcPr>
          <w:p w:rsidR="00C93F0F" w:rsidRPr="00227C94" w:rsidRDefault="00C93F0F" w:rsidP="00821069">
            <w:pPr>
              <w:pStyle w:val="tblHeaderText"/>
            </w:pPr>
            <w:r w:rsidRPr="00227C94">
              <w:t>2011</w:t>
            </w:r>
          </w:p>
        </w:tc>
      </w:tr>
      <w:tr w:rsidR="00C93F0F" w:rsidRPr="00227C94" w:rsidTr="00A701F4">
        <w:trPr>
          <w:cantSplit/>
        </w:trPr>
        <w:tc>
          <w:tcPr>
            <w:tcW w:w="2928" w:type="dxa"/>
            <w:tcBorders>
              <w:top w:val="nil"/>
              <w:left w:val="nil"/>
              <w:bottom w:val="nil"/>
              <w:right w:val="nil"/>
            </w:tcBorders>
          </w:tcPr>
          <w:p w:rsidR="00C93F0F" w:rsidRPr="00227C94" w:rsidRDefault="00C93F0F" w:rsidP="00C93F0F">
            <w:pPr>
              <w:pStyle w:val="tblHeaderText"/>
              <w:jc w:val="left"/>
            </w:pPr>
          </w:p>
        </w:tc>
        <w:tc>
          <w:tcPr>
            <w:tcW w:w="1417" w:type="dxa"/>
            <w:tcBorders>
              <w:top w:val="single" w:sz="6" w:space="0" w:color="auto"/>
              <w:left w:val="nil"/>
              <w:bottom w:val="nil"/>
              <w:right w:val="nil"/>
            </w:tcBorders>
            <w:shd w:val="clear" w:color="auto" w:fill="auto"/>
            <w:vAlign w:val="bottom"/>
          </w:tcPr>
          <w:p w:rsidR="00C93F0F" w:rsidRPr="00227C94" w:rsidRDefault="00C93F0F" w:rsidP="00C93F0F">
            <w:pPr>
              <w:pStyle w:val="tblHeaderText"/>
            </w:pPr>
          </w:p>
        </w:tc>
        <w:tc>
          <w:tcPr>
            <w:tcW w:w="113" w:type="dxa"/>
            <w:tcBorders>
              <w:top w:val="nil"/>
              <w:left w:val="nil"/>
              <w:bottom w:val="nil"/>
              <w:right w:val="nil"/>
            </w:tcBorders>
          </w:tcPr>
          <w:p w:rsidR="00C93F0F" w:rsidRPr="00227C94" w:rsidRDefault="00C93F0F" w:rsidP="00C93F0F">
            <w:pPr>
              <w:pStyle w:val="tblHeaderText"/>
            </w:pPr>
          </w:p>
        </w:tc>
        <w:tc>
          <w:tcPr>
            <w:tcW w:w="1417" w:type="dxa"/>
            <w:tcBorders>
              <w:top w:val="single" w:sz="6" w:space="0" w:color="auto"/>
              <w:left w:val="nil"/>
              <w:bottom w:val="nil"/>
              <w:right w:val="nil"/>
            </w:tcBorders>
            <w:shd w:val="clear" w:color="auto" w:fill="auto"/>
            <w:vAlign w:val="bottom"/>
          </w:tcPr>
          <w:p w:rsidR="00C93F0F" w:rsidRPr="00227C94" w:rsidRDefault="00C93F0F" w:rsidP="00C93F0F">
            <w:pPr>
              <w:pStyle w:val="tblHeaderText"/>
            </w:pPr>
          </w:p>
        </w:tc>
        <w:tc>
          <w:tcPr>
            <w:tcW w:w="113" w:type="dxa"/>
            <w:tcBorders>
              <w:left w:val="nil"/>
              <w:bottom w:val="nil"/>
              <w:right w:val="nil"/>
            </w:tcBorders>
            <w:shd w:val="clear" w:color="auto" w:fill="auto"/>
          </w:tcPr>
          <w:p w:rsidR="00C93F0F" w:rsidRPr="00227C94" w:rsidRDefault="00C93F0F" w:rsidP="00C93F0F">
            <w:pPr>
              <w:pStyle w:val="tblHeaderText"/>
            </w:pPr>
          </w:p>
        </w:tc>
        <w:tc>
          <w:tcPr>
            <w:tcW w:w="1417" w:type="dxa"/>
            <w:tcBorders>
              <w:top w:val="single" w:sz="6" w:space="0" w:color="auto"/>
              <w:left w:val="nil"/>
              <w:bottom w:val="nil"/>
              <w:right w:val="nil"/>
            </w:tcBorders>
            <w:shd w:val="clear" w:color="auto" w:fill="auto"/>
            <w:vAlign w:val="bottom"/>
          </w:tcPr>
          <w:p w:rsidR="00C93F0F" w:rsidRPr="00227C94" w:rsidRDefault="00C93F0F" w:rsidP="00C93F0F">
            <w:pPr>
              <w:pStyle w:val="tblHeaderText"/>
            </w:pPr>
          </w:p>
        </w:tc>
        <w:tc>
          <w:tcPr>
            <w:tcW w:w="113" w:type="dxa"/>
            <w:tcBorders>
              <w:left w:val="nil"/>
              <w:bottom w:val="nil"/>
              <w:right w:val="nil"/>
            </w:tcBorders>
            <w:shd w:val="clear" w:color="auto" w:fill="auto"/>
          </w:tcPr>
          <w:p w:rsidR="00C93F0F" w:rsidRPr="00227C94" w:rsidRDefault="00C93F0F" w:rsidP="00C93F0F">
            <w:pPr>
              <w:pStyle w:val="tblHeaderText"/>
            </w:pPr>
          </w:p>
        </w:tc>
        <w:tc>
          <w:tcPr>
            <w:tcW w:w="1417" w:type="dxa"/>
            <w:tcBorders>
              <w:top w:val="single" w:sz="6" w:space="0" w:color="auto"/>
              <w:left w:val="nil"/>
              <w:bottom w:val="nil"/>
              <w:right w:val="nil"/>
            </w:tcBorders>
            <w:shd w:val="clear" w:color="auto" w:fill="auto"/>
          </w:tcPr>
          <w:p w:rsidR="00C93F0F" w:rsidRPr="00227C94" w:rsidRDefault="00C93F0F" w:rsidP="00C93F0F">
            <w:pPr>
              <w:pStyle w:val="tblHeaderText"/>
            </w:pPr>
          </w:p>
        </w:tc>
      </w:tr>
      <w:tr w:rsidR="00C93F0F" w:rsidRPr="00227C94" w:rsidTr="00C93F0F">
        <w:trPr>
          <w:cantSplit/>
        </w:trPr>
        <w:tc>
          <w:tcPr>
            <w:tcW w:w="2928" w:type="dxa"/>
            <w:tcBorders>
              <w:top w:val="nil"/>
              <w:left w:val="nil"/>
              <w:bottom w:val="nil"/>
              <w:right w:val="nil"/>
            </w:tcBorders>
          </w:tcPr>
          <w:p w:rsidR="00C93F0F" w:rsidRPr="00227C94" w:rsidRDefault="00C93F0F" w:rsidP="00C93F0F">
            <w:pPr>
              <w:pStyle w:val="tblText02"/>
            </w:pPr>
            <w:r w:rsidRPr="00227C94">
              <w:t>Gold sales (USD thousands)</w:t>
            </w:r>
          </w:p>
        </w:tc>
        <w:tc>
          <w:tcPr>
            <w:tcW w:w="1417" w:type="dxa"/>
            <w:tcBorders>
              <w:top w:val="nil"/>
              <w:left w:val="nil"/>
              <w:bottom w:val="nil"/>
              <w:right w:val="nil"/>
            </w:tcBorders>
            <w:vAlign w:val="bottom"/>
          </w:tcPr>
          <w:p w:rsidR="00C93F0F" w:rsidRPr="00227C94" w:rsidRDefault="00C93F0F" w:rsidP="00C93F0F">
            <w:pPr>
              <w:pStyle w:val="tblNumber01"/>
            </w:pPr>
            <w:r w:rsidRPr="00227C94">
              <w:t>1,223,866</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901,752</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36</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2,340,650</w:t>
            </w:r>
          </w:p>
        </w:tc>
      </w:tr>
      <w:tr w:rsidR="00C93F0F" w:rsidRPr="00227C94" w:rsidTr="00C93F0F">
        <w:trPr>
          <w:cantSplit/>
        </w:trPr>
        <w:tc>
          <w:tcPr>
            <w:tcW w:w="2928" w:type="dxa"/>
            <w:tcBorders>
              <w:top w:val="nil"/>
              <w:left w:val="nil"/>
              <w:bottom w:val="nil"/>
              <w:right w:val="nil"/>
            </w:tcBorders>
          </w:tcPr>
          <w:p w:rsidR="00C93F0F" w:rsidRPr="00227C94" w:rsidRDefault="00C93F0F" w:rsidP="00C93F0F">
            <w:pPr>
              <w:pStyle w:val="tblText02"/>
              <w:rPr>
                <w:lang w:val="en-US"/>
              </w:rPr>
            </w:pPr>
            <w:r w:rsidRPr="00227C94">
              <w:rPr>
                <w:lang w:val="en-US"/>
              </w:rPr>
              <w:t>Gold sales (thousand troy ounces)</w:t>
            </w:r>
          </w:p>
        </w:tc>
        <w:tc>
          <w:tcPr>
            <w:tcW w:w="1417" w:type="dxa"/>
            <w:tcBorders>
              <w:top w:val="nil"/>
              <w:left w:val="nil"/>
              <w:bottom w:val="nil"/>
              <w:right w:val="nil"/>
            </w:tcBorders>
            <w:vAlign w:val="bottom"/>
          </w:tcPr>
          <w:p w:rsidR="00C93F0F" w:rsidRPr="00227C94" w:rsidRDefault="00C93F0F" w:rsidP="00C93F0F">
            <w:pPr>
              <w:pStyle w:val="tblNumber01"/>
            </w:pPr>
            <w:r w:rsidRPr="00227C94">
              <w:t>742</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629</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18</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1,483</w:t>
            </w:r>
          </w:p>
        </w:tc>
      </w:tr>
      <w:tr w:rsidR="00C93F0F" w:rsidRPr="00227C94" w:rsidTr="00C93F0F">
        <w:trPr>
          <w:cantSplit/>
        </w:trPr>
        <w:tc>
          <w:tcPr>
            <w:tcW w:w="2928" w:type="dxa"/>
            <w:tcBorders>
              <w:top w:val="nil"/>
              <w:left w:val="nil"/>
              <w:bottom w:val="nil"/>
              <w:right w:val="nil"/>
            </w:tcBorders>
          </w:tcPr>
          <w:p w:rsidR="00C93F0F" w:rsidRPr="00227C94" w:rsidRDefault="00C93F0F" w:rsidP="00C93F0F">
            <w:pPr>
              <w:pStyle w:val="tblText02"/>
              <w:rPr>
                <w:lang w:val="en-US"/>
              </w:rPr>
            </w:pPr>
            <w:r w:rsidRPr="00227C94">
              <w:rPr>
                <w:lang w:val="en-US"/>
              </w:rPr>
              <w:t>In the domestic market (thousand troy ounces)</w:t>
            </w:r>
            <w:r w:rsidRPr="00227C94">
              <w:rPr>
                <w:vertAlign w:val="superscript"/>
                <w:lang w:val="en-US"/>
              </w:rPr>
              <w:t>(1)</w:t>
            </w:r>
          </w:p>
        </w:tc>
        <w:tc>
          <w:tcPr>
            <w:tcW w:w="1417" w:type="dxa"/>
            <w:tcBorders>
              <w:top w:val="nil"/>
              <w:left w:val="nil"/>
              <w:bottom w:val="nil"/>
              <w:right w:val="nil"/>
            </w:tcBorders>
            <w:vAlign w:val="bottom"/>
          </w:tcPr>
          <w:p w:rsidR="00C93F0F" w:rsidRPr="00227C94" w:rsidRDefault="00C93F0F" w:rsidP="00C93F0F">
            <w:pPr>
              <w:pStyle w:val="tblNumber01"/>
            </w:pPr>
            <w:r w:rsidRPr="00227C94">
              <w:t>686</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566</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21</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1,373</w:t>
            </w:r>
          </w:p>
        </w:tc>
      </w:tr>
      <w:tr w:rsidR="00C93F0F" w:rsidRPr="00227C94" w:rsidTr="00C93F0F">
        <w:trPr>
          <w:cantSplit/>
        </w:trPr>
        <w:tc>
          <w:tcPr>
            <w:tcW w:w="2928" w:type="dxa"/>
            <w:tcBorders>
              <w:top w:val="nil"/>
              <w:left w:val="nil"/>
              <w:bottom w:val="nil"/>
              <w:right w:val="nil"/>
            </w:tcBorders>
          </w:tcPr>
          <w:p w:rsidR="00C93F0F" w:rsidRPr="00227C94" w:rsidRDefault="00C93F0F" w:rsidP="00C93F0F">
            <w:pPr>
              <w:pStyle w:val="tblText02"/>
            </w:pPr>
            <w:r w:rsidRPr="00227C94">
              <w:t>In the domestic market (%)</w:t>
            </w:r>
          </w:p>
        </w:tc>
        <w:tc>
          <w:tcPr>
            <w:tcW w:w="1417" w:type="dxa"/>
            <w:tcBorders>
              <w:top w:val="nil"/>
              <w:left w:val="nil"/>
              <w:bottom w:val="nil"/>
              <w:right w:val="nil"/>
            </w:tcBorders>
            <w:vAlign w:val="bottom"/>
          </w:tcPr>
          <w:p w:rsidR="00C93F0F" w:rsidRPr="00227C94" w:rsidRDefault="00C93F0F" w:rsidP="00C93F0F">
            <w:pPr>
              <w:pStyle w:val="tblNumber01"/>
            </w:pPr>
            <w:r w:rsidRPr="00227C94">
              <w:t>92</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90</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3</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93</w:t>
            </w:r>
          </w:p>
        </w:tc>
      </w:tr>
      <w:tr w:rsidR="00C93F0F" w:rsidRPr="00227C94" w:rsidTr="00C93F0F">
        <w:trPr>
          <w:cantSplit/>
        </w:trPr>
        <w:tc>
          <w:tcPr>
            <w:tcW w:w="2928" w:type="dxa"/>
            <w:tcBorders>
              <w:top w:val="nil"/>
              <w:left w:val="nil"/>
              <w:bottom w:val="nil"/>
              <w:right w:val="nil"/>
            </w:tcBorders>
          </w:tcPr>
          <w:p w:rsidR="00C93F0F" w:rsidRPr="00227C94" w:rsidRDefault="00C93F0F" w:rsidP="00C93F0F">
            <w:pPr>
              <w:pStyle w:val="tblText02"/>
              <w:rPr>
                <w:lang w:val="en-US"/>
              </w:rPr>
            </w:pPr>
            <w:r w:rsidRPr="00227C94">
              <w:rPr>
                <w:lang w:val="en-US"/>
              </w:rPr>
              <w:t xml:space="preserve">For export (thousand troy ounces) </w:t>
            </w:r>
            <w:r w:rsidRPr="00227C94">
              <w:rPr>
                <w:vertAlign w:val="superscript"/>
                <w:lang w:val="en-US"/>
              </w:rPr>
              <w:t>(2)</w:t>
            </w:r>
          </w:p>
        </w:tc>
        <w:tc>
          <w:tcPr>
            <w:tcW w:w="1417" w:type="dxa"/>
            <w:tcBorders>
              <w:top w:val="nil"/>
              <w:left w:val="nil"/>
              <w:bottom w:val="nil"/>
              <w:right w:val="nil"/>
            </w:tcBorders>
            <w:vAlign w:val="bottom"/>
          </w:tcPr>
          <w:p w:rsidR="00C93F0F" w:rsidRPr="00227C94" w:rsidRDefault="00C93F0F" w:rsidP="00C93F0F">
            <w:pPr>
              <w:pStyle w:val="tblNumber01"/>
            </w:pPr>
            <w:r w:rsidRPr="00227C94">
              <w:t>56</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63</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0"/>
            </w:pPr>
            <w:r w:rsidRPr="00227C94">
              <w:t>(11)</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110</w:t>
            </w:r>
          </w:p>
        </w:tc>
      </w:tr>
      <w:tr w:rsidR="00C93F0F" w:rsidRPr="00227C94" w:rsidTr="00C93F0F">
        <w:trPr>
          <w:cantSplit/>
        </w:trPr>
        <w:tc>
          <w:tcPr>
            <w:tcW w:w="2928" w:type="dxa"/>
            <w:tcBorders>
              <w:top w:val="nil"/>
              <w:left w:val="nil"/>
              <w:bottom w:val="nil"/>
              <w:right w:val="nil"/>
            </w:tcBorders>
          </w:tcPr>
          <w:p w:rsidR="00C93F0F" w:rsidRPr="00227C94" w:rsidRDefault="00C93F0F" w:rsidP="00C93F0F">
            <w:pPr>
              <w:pStyle w:val="tblText02"/>
              <w:rPr>
                <w:lang w:val="en-US"/>
              </w:rPr>
            </w:pPr>
            <w:r w:rsidRPr="00227C94">
              <w:rPr>
                <w:lang w:val="en-US"/>
              </w:rPr>
              <w:t>Weighted-average realised gold price (USD per troy ounce)</w:t>
            </w:r>
          </w:p>
        </w:tc>
        <w:tc>
          <w:tcPr>
            <w:tcW w:w="1417" w:type="dxa"/>
            <w:tcBorders>
              <w:top w:val="nil"/>
              <w:left w:val="nil"/>
              <w:bottom w:val="nil"/>
              <w:right w:val="nil"/>
            </w:tcBorders>
            <w:vAlign w:val="bottom"/>
          </w:tcPr>
          <w:p w:rsidR="00C93F0F" w:rsidRPr="00227C94" w:rsidRDefault="00C93F0F" w:rsidP="00C93F0F">
            <w:pPr>
              <w:pStyle w:val="tblNumber01"/>
            </w:pPr>
            <w:r w:rsidRPr="00227C94">
              <w:t>1,649</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1,433</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15</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1,578</w:t>
            </w:r>
          </w:p>
        </w:tc>
      </w:tr>
      <w:tr w:rsidR="00C93F0F" w:rsidRPr="00227C94" w:rsidTr="00C93F0F">
        <w:trPr>
          <w:cantSplit/>
        </w:trPr>
        <w:tc>
          <w:tcPr>
            <w:tcW w:w="2928" w:type="dxa"/>
            <w:tcBorders>
              <w:top w:val="nil"/>
              <w:left w:val="nil"/>
              <w:bottom w:val="nil"/>
              <w:right w:val="nil"/>
            </w:tcBorders>
          </w:tcPr>
          <w:p w:rsidR="00C93F0F" w:rsidRPr="00227C94" w:rsidRDefault="00C93F0F" w:rsidP="00C93F0F">
            <w:pPr>
              <w:pStyle w:val="tblText02"/>
              <w:rPr>
                <w:vertAlign w:val="superscript"/>
                <w:lang w:val="en-US"/>
              </w:rPr>
            </w:pPr>
            <w:r w:rsidRPr="00227C94">
              <w:rPr>
                <w:lang w:val="en-US"/>
              </w:rPr>
              <w:t>London p.m.gold fixing price (USD per troy ounce)</w:t>
            </w:r>
            <w:r w:rsidRPr="00227C94">
              <w:rPr>
                <w:vertAlign w:val="superscript"/>
                <w:lang w:val="en-US"/>
              </w:rPr>
              <w:t>(3)</w:t>
            </w:r>
          </w:p>
        </w:tc>
        <w:tc>
          <w:tcPr>
            <w:tcW w:w="1417" w:type="dxa"/>
            <w:tcBorders>
              <w:top w:val="nil"/>
              <w:left w:val="nil"/>
              <w:bottom w:val="nil"/>
              <w:right w:val="nil"/>
            </w:tcBorders>
            <w:vAlign w:val="bottom"/>
          </w:tcPr>
          <w:p w:rsidR="00C93F0F" w:rsidRPr="00227C94" w:rsidRDefault="00C93F0F" w:rsidP="00C93F0F">
            <w:pPr>
              <w:pStyle w:val="tblNumber01"/>
            </w:pPr>
            <w:r w:rsidRPr="00227C94">
              <w:t>1,651</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1,445</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14</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1,571</w:t>
            </w:r>
          </w:p>
        </w:tc>
      </w:tr>
      <w:tr w:rsidR="00C93F0F" w:rsidRPr="00227C94" w:rsidTr="00C93F0F">
        <w:trPr>
          <w:cantSplit/>
        </w:trPr>
        <w:tc>
          <w:tcPr>
            <w:tcW w:w="2928" w:type="dxa"/>
            <w:tcBorders>
              <w:top w:val="nil"/>
              <w:left w:val="nil"/>
              <w:bottom w:val="nil"/>
              <w:right w:val="nil"/>
            </w:tcBorders>
          </w:tcPr>
          <w:p w:rsidR="00C93F0F" w:rsidRPr="00227C94" w:rsidRDefault="00C93F0F" w:rsidP="00C93F0F">
            <w:pPr>
              <w:pStyle w:val="tblText02"/>
              <w:rPr>
                <w:lang w:val="en-US"/>
              </w:rPr>
            </w:pPr>
            <w:r w:rsidRPr="00227C94">
              <w:rPr>
                <w:lang w:val="en-US"/>
              </w:rPr>
              <w:t>(Deficit)/excess of average realised price (under)/over average p.m.</w:t>
            </w:r>
            <w:r w:rsidR="00D677DF" w:rsidRPr="00227C94">
              <w:rPr>
                <w:vertAlign w:val="superscript"/>
                <w:lang w:val="en-US"/>
              </w:rPr>
              <w:t xml:space="preserve"> (4)</w:t>
            </w:r>
            <w:r w:rsidRPr="00227C94">
              <w:rPr>
                <w:lang w:val="en-US"/>
              </w:rPr>
              <w:t xml:space="preserve"> fixing price (USD per troy ounce)</w:t>
            </w:r>
          </w:p>
        </w:tc>
        <w:tc>
          <w:tcPr>
            <w:tcW w:w="1417" w:type="dxa"/>
            <w:tcBorders>
              <w:top w:val="nil"/>
              <w:left w:val="nil"/>
              <w:bottom w:val="nil"/>
              <w:right w:val="nil"/>
            </w:tcBorders>
            <w:vAlign w:val="bottom"/>
          </w:tcPr>
          <w:p w:rsidR="00C93F0F" w:rsidRPr="00227C94" w:rsidRDefault="00C93F0F" w:rsidP="00C93F0F">
            <w:pPr>
              <w:pStyle w:val="tblNumber00"/>
            </w:pPr>
            <w:r w:rsidRPr="00227C94">
              <w:t>(2)</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0"/>
            </w:pPr>
            <w:r w:rsidRPr="00227C94">
              <w:t>(11)</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0"/>
            </w:pPr>
            <w:r w:rsidRPr="00227C94">
              <w:t>(78)</w:t>
            </w:r>
          </w:p>
        </w:tc>
        <w:tc>
          <w:tcPr>
            <w:tcW w:w="113" w:type="dxa"/>
            <w:tcBorders>
              <w:top w:val="nil"/>
              <w:left w:val="nil"/>
              <w:bottom w:val="nil"/>
              <w:right w:val="nil"/>
            </w:tcBorders>
            <w:vAlign w:val="bottom"/>
          </w:tcPr>
          <w:p w:rsidR="00C93F0F" w:rsidRPr="00227C94" w:rsidRDefault="00C93F0F" w:rsidP="00C93F0F">
            <w:pPr>
              <w:pStyle w:val="tblNumber01"/>
            </w:pPr>
          </w:p>
        </w:tc>
        <w:tc>
          <w:tcPr>
            <w:tcW w:w="1417" w:type="dxa"/>
            <w:tcBorders>
              <w:top w:val="nil"/>
              <w:left w:val="nil"/>
              <w:bottom w:val="nil"/>
              <w:right w:val="nil"/>
            </w:tcBorders>
            <w:vAlign w:val="bottom"/>
          </w:tcPr>
          <w:p w:rsidR="00C93F0F" w:rsidRPr="00227C94" w:rsidRDefault="00C93F0F" w:rsidP="00C93F0F">
            <w:pPr>
              <w:pStyle w:val="tblNumber01"/>
            </w:pPr>
            <w:r w:rsidRPr="00227C94">
              <w:t>6.7</w:t>
            </w:r>
          </w:p>
        </w:tc>
      </w:tr>
    </w:tbl>
    <w:p w:rsidR="00C93F0F" w:rsidRPr="00227C94" w:rsidRDefault="00C93F0F" w:rsidP="00C93F0F">
      <w:pPr>
        <w:pStyle w:val="23"/>
        <w:rPr>
          <w:color w:val="auto"/>
          <w:sz w:val="18"/>
          <w:lang w:val="en-US"/>
        </w:rPr>
      </w:pPr>
      <w:r w:rsidRPr="00227C94">
        <w:rPr>
          <w:color w:val="auto"/>
          <w:lang w:val="en-US"/>
        </w:rPr>
        <w:t>_______________________________</w:t>
      </w:r>
    </w:p>
    <w:p w:rsidR="00D677DF" w:rsidRPr="00227C94" w:rsidRDefault="00916675" w:rsidP="002E73D5">
      <w:pPr>
        <w:pStyle w:val="2"/>
        <w:numPr>
          <w:ilvl w:val="0"/>
          <w:numId w:val="21"/>
        </w:numPr>
        <w:rPr>
          <w:sz w:val="18"/>
          <w:lang w:val="en-US"/>
        </w:rPr>
      </w:pPr>
      <w:bookmarkStart w:id="82" w:name="_DV_M107"/>
      <w:bookmarkEnd w:id="82"/>
      <w:r w:rsidRPr="00227C94">
        <w:rPr>
          <w:spacing w:val="-2"/>
          <w:sz w:val="18"/>
          <w:lang w:val="en-US"/>
        </w:rPr>
        <w:t>Sales on the domestic market comprise of sales by the Group’s Russian subs</w:t>
      </w:r>
      <w:r w:rsidR="00D677DF" w:rsidRPr="00227C94">
        <w:rPr>
          <w:spacing w:val="-2"/>
          <w:sz w:val="18"/>
          <w:lang w:val="en-US"/>
        </w:rPr>
        <w:t>idiaries on the Russian market.</w:t>
      </w:r>
    </w:p>
    <w:p w:rsidR="00916675" w:rsidRPr="00227C94" w:rsidRDefault="00916675" w:rsidP="002E73D5">
      <w:pPr>
        <w:pStyle w:val="2"/>
        <w:numPr>
          <w:ilvl w:val="0"/>
          <w:numId w:val="21"/>
        </w:numPr>
        <w:rPr>
          <w:sz w:val="18"/>
          <w:lang w:val="en-US"/>
        </w:rPr>
      </w:pPr>
      <w:r w:rsidRPr="00227C94">
        <w:rPr>
          <w:sz w:val="18"/>
          <w:lang w:val="en-US"/>
        </w:rPr>
        <w:t>Export sales comprise sales by the Kazakhstan business unit to foreign customers.</w:t>
      </w:r>
    </w:p>
    <w:p w:rsidR="00916675" w:rsidRPr="00227C94" w:rsidRDefault="00916675" w:rsidP="002E73D5">
      <w:pPr>
        <w:pStyle w:val="2"/>
        <w:numPr>
          <w:ilvl w:val="0"/>
          <w:numId w:val="21"/>
        </w:numPr>
        <w:rPr>
          <w:sz w:val="18"/>
          <w:lang w:val="en-US"/>
        </w:rPr>
      </w:pPr>
      <w:bookmarkStart w:id="83" w:name="_DV_M108"/>
      <w:bookmarkEnd w:id="83"/>
      <w:r w:rsidRPr="00227C94">
        <w:rPr>
          <w:sz w:val="18"/>
          <w:lang w:val="en-US"/>
        </w:rPr>
        <w:t>Source: London Bullion Market Association.</w:t>
      </w:r>
    </w:p>
    <w:p w:rsidR="00D677DF" w:rsidRPr="00227C94" w:rsidRDefault="00D677DF" w:rsidP="00D677DF">
      <w:pPr>
        <w:pStyle w:val="2"/>
        <w:numPr>
          <w:ilvl w:val="0"/>
          <w:numId w:val="21"/>
        </w:numPr>
        <w:rPr>
          <w:sz w:val="18"/>
          <w:lang w:val="en-US"/>
        </w:rPr>
      </w:pPr>
      <w:r w:rsidRPr="00227C94">
        <w:rPr>
          <w:sz w:val="18"/>
          <w:lang w:val="en-US"/>
        </w:rPr>
        <w:t>Calculation may not be precise due to rounding.</w:t>
      </w:r>
    </w:p>
    <w:p w:rsidR="00916675" w:rsidRPr="00227C94" w:rsidRDefault="00916675" w:rsidP="00C93F0F">
      <w:pPr>
        <w:pStyle w:val="23"/>
        <w:rPr>
          <w:color w:val="auto"/>
          <w:lang w:val="en-US"/>
        </w:rPr>
      </w:pPr>
    </w:p>
    <w:p w:rsidR="00916675" w:rsidRPr="00227C94" w:rsidRDefault="00916675" w:rsidP="00C93F0F">
      <w:pPr>
        <w:pStyle w:val="23"/>
        <w:rPr>
          <w:color w:val="auto"/>
          <w:lang w:val="en-US"/>
        </w:rPr>
      </w:pPr>
      <w:bookmarkStart w:id="84" w:name="_DV_M109"/>
      <w:bookmarkEnd w:id="84"/>
      <w:r w:rsidRPr="00227C94">
        <w:rPr>
          <w:color w:val="auto"/>
          <w:spacing w:val="-2"/>
          <w:lang w:val="en-US"/>
        </w:rPr>
        <w:t xml:space="preserve">In the first six months of 2012, the Group’s gold sales amounted to USD1,223,866 thousand, showing </w:t>
      </w:r>
      <w:r w:rsidRPr="00227C94">
        <w:rPr>
          <w:color w:val="auto"/>
          <w:lang w:val="en-US"/>
        </w:rPr>
        <w:t xml:space="preserve">an increase of 36% compared </w:t>
      </w:r>
      <w:bookmarkStart w:id="85" w:name="_DV_C46"/>
      <w:r w:rsidRPr="00227C94">
        <w:rPr>
          <w:color w:val="auto"/>
          <w:lang w:val="en-US"/>
        </w:rPr>
        <w:t>to the</w:t>
      </w:r>
      <w:bookmarkStart w:id="86" w:name="_DV_M110"/>
      <w:bookmarkEnd w:id="85"/>
      <w:bookmarkEnd w:id="86"/>
      <w:r w:rsidRPr="00227C94">
        <w:rPr>
          <w:color w:val="auto"/>
          <w:lang w:val="en-US"/>
        </w:rPr>
        <w:t xml:space="preserve"> first six months of 2011.The increase in gold sales resulted from a combination of higher realised gold prices and increased sales volumes.</w:t>
      </w:r>
    </w:p>
    <w:p w:rsidR="00C93F0F" w:rsidRPr="00227C94" w:rsidRDefault="00C93F0F" w:rsidP="00C93F0F">
      <w:pPr>
        <w:pStyle w:val="23"/>
        <w:rPr>
          <w:color w:val="auto"/>
          <w:lang w:val="en-US"/>
        </w:rPr>
      </w:pPr>
    </w:p>
    <w:p w:rsidR="00916675" w:rsidRPr="00227C94" w:rsidRDefault="00916675" w:rsidP="00C93F0F">
      <w:pPr>
        <w:pStyle w:val="23"/>
        <w:rPr>
          <w:color w:val="auto"/>
          <w:lang w:val="en-US"/>
        </w:rPr>
      </w:pPr>
      <w:bookmarkStart w:id="87" w:name="_DV_M111"/>
      <w:bookmarkEnd w:id="87"/>
      <w:r w:rsidRPr="00227C94">
        <w:rPr>
          <w:color w:val="auto"/>
          <w:spacing w:val="-2"/>
          <w:lang w:val="en-US"/>
        </w:rPr>
        <w:t xml:space="preserve">In </w:t>
      </w:r>
      <w:bookmarkStart w:id="88" w:name="_DV_C48"/>
      <w:r w:rsidRPr="00227C94">
        <w:rPr>
          <w:color w:val="auto"/>
          <w:spacing w:val="-2"/>
          <w:lang w:val="en-US"/>
        </w:rPr>
        <w:t>H1 2012,</w:t>
      </w:r>
      <w:bookmarkStart w:id="89" w:name="_DV_M112"/>
      <w:bookmarkEnd w:id="88"/>
      <w:bookmarkEnd w:id="89"/>
      <w:r w:rsidRPr="00227C94">
        <w:rPr>
          <w:color w:val="auto"/>
          <w:spacing w:val="-2"/>
          <w:lang w:val="en-US"/>
        </w:rPr>
        <w:t xml:space="preserve"> the weighted-average realised gold price was USD1</w:t>
      </w:r>
      <w:proofErr w:type="gramStart"/>
      <w:r w:rsidRPr="00227C94">
        <w:rPr>
          <w:color w:val="auto"/>
          <w:spacing w:val="-2"/>
          <w:lang w:val="en-US"/>
        </w:rPr>
        <w:t>,649</w:t>
      </w:r>
      <w:proofErr w:type="gramEnd"/>
      <w:r w:rsidRPr="00227C94">
        <w:rPr>
          <w:color w:val="auto"/>
          <w:spacing w:val="-2"/>
          <w:lang w:val="en-US"/>
        </w:rPr>
        <w:t xml:space="preserve"> per troy ounce, </w:t>
      </w:r>
      <w:bookmarkStart w:id="90" w:name="_DV_M113"/>
      <w:bookmarkEnd w:id="90"/>
      <w:r w:rsidRPr="00227C94">
        <w:rPr>
          <w:color w:val="auto"/>
          <w:spacing w:val="-2"/>
          <w:lang w:val="en-US"/>
        </w:rPr>
        <w:t xml:space="preserve">a 15% </w:t>
      </w:r>
      <w:bookmarkStart w:id="91" w:name="_DV_C51"/>
      <w:r w:rsidRPr="00227C94">
        <w:rPr>
          <w:color w:val="auto"/>
          <w:spacing w:val="-2"/>
          <w:lang w:val="en-US"/>
        </w:rPr>
        <w:t>increase</w:t>
      </w:r>
      <w:bookmarkStart w:id="92" w:name="_DV_M114"/>
      <w:bookmarkEnd w:id="91"/>
      <w:bookmarkEnd w:id="92"/>
      <w:r w:rsidRPr="00227C94">
        <w:rPr>
          <w:color w:val="auto"/>
          <w:spacing w:val="-2"/>
          <w:lang w:val="en-US"/>
        </w:rPr>
        <w:t xml:space="preserve"> compared to the same period of </w:t>
      </w:r>
      <w:bookmarkStart w:id="93" w:name="_DV_C53"/>
      <w:r w:rsidRPr="00227C94">
        <w:rPr>
          <w:color w:val="auto"/>
          <w:spacing w:val="-2"/>
          <w:lang w:val="en-US"/>
        </w:rPr>
        <w:t>2011.</w:t>
      </w:r>
      <w:bookmarkStart w:id="94" w:name="_DV_M115"/>
      <w:bookmarkEnd w:id="93"/>
      <w:bookmarkEnd w:id="94"/>
      <w:r w:rsidRPr="00227C94">
        <w:rPr>
          <w:color w:val="auto"/>
          <w:spacing w:val="-2"/>
          <w:lang w:val="en-US"/>
        </w:rPr>
        <w:t xml:space="preserve"> This was just USD2 per ounce lower than the p.m. gold fixing price on the London market, as high volumes of gold were sold in February and June at a price slightly </w:t>
      </w:r>
      <w:r w:rsidRPr="00227C94">
        <w:rPr>
          <w:color w:val="auto"/>
          <w:lang w:val="en-US"/>
        </w:rPr>
        <w:t>higher than the average fixing (see graph below). Th</w:t>
      </w:r>
      <w:r w:rsidR="00F66D2A" w:rsidRPr="00227C94">
        <w:rPr>
          <w:color w:val="auto"/>
          <w:lang w:val="en-US"/>
        </w:rPr>
        <w:t>erefore</w:t>
      </w:r>
      <w:r w:rsidRPr="00227C94">
        <w:rPr>
          <w:color w:val="auto"/>
          <w:lang w:val="en-US"/>
        </w:rPr>
        <w:t>, the weighted-average realised gold price for refined gold sold by the Group’s Russian subsidiaries amounted to USD1</w:t>
      </w:r>
      <w:proofErr w:type="gramStart"/>
      <w:r w:rsidRPr="00227C94">
        <w:rPr>
          <w:color w:val="auto"/>
          <w:lang w:val="en-US"/>
        </w:rPr>
        <w:t>,652</w:t>
      </w:r>
      <w:proofErr w:type="gramEnd"/>
      <w:r w:rsidRPr="00227C94">
        <w:rPr>
          <w:color w:val="auto"/>
          <w:lang w:val="en-US"/>
        </w:rPr>
        <w:t xml:space="preserve"> per ounce in H1 2012. However, this was partly offset by the impact of the Kazakhstan business unit which sells semi-products at a considerable discount to the London fixing price. In the first half of 2011, the weighted-average realised gold price was USD11 per ounce lower than the average p.m. gold fixing price </w:t>
      </w:r>
      <w:r w:rsidR="00F66D2A" w:rsidRPr="00227C94">
        <w:rPr>
          <w:color w:val="auto"/>
          <w:lang w:val="en-US"/>
        </w:rPr>
        <w:t>due to</w:t>
      </w:r>
      <w:r w:rsidRPr="00227C94">
        <w:rPr>
          <w:color w:val="auto"/>
          <w:lang w:val="en-US"/>
        </w:rPr>
        <w:t xml:space="preserve"> the impact of the sale of semi-products by the Kazakhstan business unit at a considerable discount to the London fixing price, as well as the fact that in March 2011 high volumes of gold were sold at a price lower than the average p.m. fixing (see graph below).</w:t>
      </w:r>
    </w:p>
    <w:p w:rsidR="00C93F0F" w:rsidRPr="00227C94" w:rsidRDefault="00C93F0F" w:rsidP="00C93F0F">
      <w:pPr>
        <w:pStyle w:val="23"/>
        <w:rPr>
          <w:color w:val="auto"/>
          <w:lang w:val="en-US"/>
        </w:rPr>
      </w:pPr>
    </w:p>
    <w:p w:rsidR="00916675" w:rsidRPr="00227C94" w:rsidRDefault="00916675" w:rsidP="00C93F0F">
      <w:pPr>
        <w:pStyle w:val="23"/>
        <w:rPr>
          <w:color w:val="auto"/>
          <w:lang w:val="en-US"/>
        </w:rPr>
      </w:pPr>
      <w:proofErr w:type="gramStart"/>
      <w:r w:rsidRPr="00227C94">
        <w:rPr>
          <w:color w:val="auto"/>
          <w:lang w:val="en-US"/>
        </w:rPr>
        <w:t>Graph 1.</w:t>
      </w:r>
      <w:proofErr w:type="gramEnd"/>
      <w:r w:rsidRPr="00227C94">
        <w:rPr>
          <w:color w:val="auto"/>
          <w:lang w:val="en-US"/>
        </w:rPr>
        <w:t xml:space="preserve"> Gold sales and selling price in </w:t>
      </w:r>
      <w:proofErr w:type="gramStart"/>
      <w:r w:rsidRPr="00227C94">
        <w:rPr>
          <w:color w:val="auto"/>
          <w:lang w:val="en-US"/>
        </w:rPr>
        <w:t xml:space="preserve">the  </w:t>
      </w:r>
      <w:r w:rsidR="00F66D2A" w:rsidRPr="00227C94">
        <w:rPr>
          <w:color w:val="auto"/>
          <w:lang w:val="en-US"/>
        </w:rPr>
        <w:t>6</w:t>
      </w:r>
      <w:proofErr w:type="gramEnd"/>
      <w:r w:rsidRPr="00227C94">
        <w:rPr>
          <w:color w:val="auto"/>
          <w:lang w:val="en-US"/>
        </w:rPr>
        <w:t xml:space="preserve"> months ended 30 June 201</w:t>
      </w:r>
      <w:r w:rsidR="00F66D2A" w:rsidRPr="00227C94">
        <w:rPr>
          <w:color w:val="auto"/>
          <w:lang w:val="en-US"/>
        </w:rPr>
        <w:t>2</w:t>
      </w:r>
      <w:r w:rsidRPr="00227C94">
        <w:rPr>
          <w:color w:val="auto"/>
          <w:lang w:val="en-US"/>
        </w:rPr>
        <w:t xml:space="preserve"> and 30 June 201</w:t>
      </w:r>
      <w:r w:rsidR="00F66D2A" w:rsidRPr="00227C94">
        <w:rPr>
          <w:color w:val="auto"/>
          <w:lang w:val="en-US"/>
        </w:rPr>
        <w:t>1</w:t>
      </w:r>
      <w:r w:rsidRPr="00227C94">
        <w:rPr>
          <w:color w:val="auto"/>
          <w:lang w:val="en-US"/>
        </w:rPr>
        <w:t>.</w:t>
      </w:r>
    </w:p>
    <w:p w:rsidR="00916675" w:rsidRPr="00227C94" w:rsidRDefault="00227C94" w:rsidP="00916675">
      <w:pPr>
        <w:spacing w:before="120" w:after="120"/>
        <w:jc w:val="both"/>
        <w:rPr>
          <w:rFonts w:cs="Arial"/>
          <w:sz w:val="18"/>
          <w:szCs w:val="18"/>
        </w:rPr>
      </w:pPr>
      <w:r>
        <w:rPr>
          <w:rFonts w:cs="Arial"/>
          <w:noProof/>
          <w:sz w:val="18"/>
          <w:szCs w:val="18"/>
          <w:lang w:val="ru-RU" w:eastAsia="ru-RU"/>
        </w:rPr>
        <w:drawing>
          <wp:inline distT="0" distB="0" distL="0" distR="0">
            <wp:extent cx="6337300" cy="2604770"/>
            <wp:effectExtent l="0" t="0" r="12700" b="0"/>
            <wp:docPr id="5"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7300" cy="2604770"/>
                    </a:xfrm>
                    <a:prstGeom prst="rect">
                      <a:avLst/>
                    </a:prstGeom>
                    <a:noFill/>
                    <a:ln>
                      <a:noFill/>
                    </a:ln>
                  </pic:spPr>
                </pic:pic>
              </a:graphicData>
            </a:graphic>
          </wp:inline>
        </w:drawing>
      </w:r>
    </w:p>
    <w:p w:rsidR="00916675" w:rsidRPr="00227C94" w:rsidRDefault="00C93F0F" w:rsidP="00C93F0F">
      <w:pPr>
        <w:pStyle w:val="23"/>
        <w:rPr>
          <w:color w:val="auto"/>
          <w:lang w:val="en-US"/>
        </w:rPr>
      </w:pPr>
      <w:bookmarkStart w:id="95" w:name="_DV_M116"/>
      <w:bookmarkEnd w:id="95"/>
      <w:r w:rsidRPr="00227C94">
        <w:rPr>
          <w:color w:val="auto"/>
          <w:lang w:val="en-US"/>
        </w:rPr>
        <w:br w:type="page"/>
      </w:r>
      <w:r w:rsidR="00916675" w:rsidRPr="00227C94">
        <w:rPr>
          <w:color w:val="auto"/>
          <w:lang w:val="en-US"/>
        </w:rPr>
        <w:lastRenderedPageBreak/>
        <w:t xml:space="preserve">The sales volumes in </w:t>
      </w:r>
      <w:bookmarkStart w:id="96" w:name="_DV_C55"/>
      <w:r w:rsidR="00916675" w:rsidRPr="00227C94">
        <w:rPr>
          <w:color w:val="auto"/>
          <w:lang w:val="en-US"/>
        </w:rPr>
        <w:t>H1 201</w:t>
      </w:r>
      <w:bookmarkStart w:id="97" w:name="_DV_M117"/>
      <w:bookmarkEnd w:id="96"/>
      <w:bookmarkEnd w:id="97"/>
      <w:r w:rsidR="00916675" w:rsidRPr="00227C94">
        <w:rPr>
          <w:color w:val="auto"/>
          <w:lang w:val="en-US"/>
        </w:rPr>
        <w:t xml:space="preserve">2 were 742 thousand troy ounces, including 56 thousand ounces sold for export by the Kazakhstan business unit. The comparable sales volumes in the first half of 2011 were 629 thousand troy ounces and 63 thousand troy ounces, respectively. In the first six months of 2012 the Group produced 721 thousand ounces of gold, compared to 611 </w:t>
      </w:r>
      <w:bookmarkStart w:id="98" w:name="_DV_M118"/>
      <w:bookmarkEnd w:id="98"/>
      <w:r w:rsidR="00916675" w:rsidRPr="00227C94">
        <w:rPr>
          <w:color w:val="auto"/>
          <w:lang w:val="en-US"/>
        </w:rPr>
        <w:t>thousand ounces in the same period of the previous year.</w:t>
      </w:r>
      <w:r w:rsidR="00916675" w:rsidRPr="00227C94">
        <w:rPr>
          <w:color w:val="auto"/>
          <w:vertAlign w:val="superscript"/>
          <w:lang w:val="en-US"/>
        </w:rPr>
        <w:footnoteReference w:customMarkFollows="1" w:id="1"/>
        <w:t>1</w:t>
      </w:r>
      <w:bookmarkStart w:id="99" w:name="_DV_M119"/>
      <w:bookmarkEnd w:id="99"/>
      <w:r w:rsidR="00916675" w:rsidRPr="00227C94">
        <w:rPr>
          <w:color w:val="auto"/>
          <w:lang w:val="en-US"/>
        </w:rPr>
        <w:t xml:space="preserve"> </w:t>
      </w:r>
      <w:proofErr w:type="gramStart"/>
      <w:r w:rsidR="00F66D2A" w:rsidRPr="00227C94">
        <w:rPr>
          <w:color w:val="auto"/>
          <w:lang w:val="en-US"/>
        </w:rPr>
        <w:t>This</w:t>
      </w:r>
      <w:proofErr w:type="gramEnd"/>
      <w:r w:rsidR="00F66D2A" w:rsidRPr="00227C94">
        <w:rPr>
          <w:color w:val="auto"/>
          <w:lang w:val="en-US"/>
        </w:rPr>
        <w:t xml:space="preserve"> </w:t>
      </w:r>
      <w:r w:rsidR="00916675" w:rsidRPr="00227C94">
        <w:rPr>
          <w:color w:val="auto"/>
          <w:lang w:val="en-US"/>
        </w:rPr>
        <w:t xml:space="preserve">18% </w:t>
      </w:r>
      <w:bookmarkStart w:id="100" w:name="_DV_M120"/>
      <w:bookmarkEnd w:id="100"/>
      <w:r w:rsidR="00916675" w:rsidRPr="00227C94">
        <w:rPr>
          <w:color w:val="auto"/>
          <w:lang w:val="en-US"/>
        </w:rPr>
        <w:t xml:space="preserve">increase in production is primarily a result of successful work </w:t>
      </w:r>
      <w:r w:rsidR="007568F1" w:rsidRPr="00227C94">
        <w:rPr>
          <w:color w:val="auto"/>
          <w:lang w:val="en-US"/>
        </w:rPr>
        <w:t xml:space="preserve">at </w:t>
      </w:r>
      <w:r w:rsidR="00916675" w:rsidRPr="00227C94">
        <w:rPr>
          <w:color w:val="auto"/>
          <w:lang w:val="en-US"/>
        </w:rPr>
        <w:t>four mines:</w:t>
      </w:r>
    </w:p>
    <w:p w:rsidR="00C93F0F" w:rsidRPr="00227C94" w:rsidRDefault="00C93F0F" w:rsidP="00821069">
      <w:pPr>
        <w:pStyle w:val="23"/>
        <w:spacing w:line="180" w:lineRule="exact"/>
        <w:rPr>
          <w:color w:val="auto"/>
          <w:lang w:val="en-US"/>
        </w:rPr>
      </w:pPr>
    </w:p>
    <w:p w:rsidR="00916675" w:rsidRPr="00227C94" w:rsidRDefault="00916675" w:rsidP="00C93F0F">
      <w:pPr>
        <w:pStyle w:val="20"/>
        <w:rPr>
          <w:spacing w:val="-2"/>
          <w:lang w:val="en-US"/>
        </w:rPr>
      </w:pPr>
      <w:r w:rsidRPr="00227C94">
        <w:rPr>
          <w:spacing w:val="-2"/>
          <w:lang w:val="en-US"/>
        </w:rPr>
        <w:t>The Olimpiada mine. 7</w:t>
      </w:r>
      <w:r w:rsidR="00A47976" w:rsidRPr="00227C94">
        <w:rPr>
          <w:spacing w:val="-2"/>
          <w:lang w:val="en-US"/>
        </w:rPr>
        <w:t>1</w:t>
      </w:r>
      <w:r w:rsidRPr="00227C94">
        <w:rPr>
          <w:spacing w:val="-2"/>
          <w:lang w:val="en-US"/>
        </w:rPr>
        <w:t xml:space="preserve"> koz growth p-o-p. Successful implementation of the Group’s </w:t>
      </w:r>
      <w:bookmarkStart w:id="101" w:name="_DV_C59"/>
      <w:r w:rsidRPr="00227C94">
        <w:rPr>
          <w:spacing w:val="-2"/>
          <w:lang w:val="en-US"/>
        </w:rPr>
        <w:t>production optimi</w:t>
      </w:r>
      <w:r w:rsidR="00F66D2A" w:rsidRPr="00227C94">
        <w:rPr>
          <w:spacing w:val="-2"/>
          <w:lang w:val="en-US"/>
        </w:rPr>
        <w:t>s</w:t>
      </w:r>
      <w:r w:rsidRPr="00227C94">
        <w:rPr>
          <w:spacing w:val="-2"/>
          <w:lang w:val="en-US"/>
        </w:rPr>
        <w:t>ation</w:t>
      </w:r>
      <w:bookmarkStart w:id="102" w:name="_DV_M122"/>
      <w:bookmarkEnd w:id="101"/>
      <w:bookmarkEnd w:id="102"/>
      <w:r w:rsidRPr="00227C94">
        <w:rPr>
          <w:spacing w:val="-2"/>
          <w:lang w:val="en-US"/>
        </w:rPr>
        <w:t xml:space="preserve"> programme resulted in higher recovery r</w:t>
      </w:r>
      <w:r w:rsidR="00C93F0F" w:rsidRPr="00227C94">
        <w:rPr>
          <w:spacing w:val="-2"/>
          <w:lang w:val="en-US"/>
        </w:rPr>
        <w:t>ate (76% vs 71% in H1 2011);</w:t>
      </w:r>
    </w:p>
    <w:p w:rsidR="00916675" w:rsidRPr="00227C94" w:rsidRDefault="00916675" w:rsidP="00C93F0F">
      <w:pPr>
        <w:pStyle w:val="20"/>
        <w:rPr>
          <w:lang w:val="en-US"/>
        </w:rPr>
      </w:pPr>
      <w:r w:rsidRPr="00227C94">
        <w:rPr>
          <w:lang w:val="en-US"/>
        </w:rPr>
        <w:t>The Blagodatnoye mine. 2</w:t>
      </w:r>
      <w:r w:rsidR="00A47976" w:rsidRPr="00227C94">
        <w:rPr>
          <w:lang w:val="en-US"/>
        </w:rPr>
        <w:t>2</w:t>
      </w:r>
      <w:r w:rsidRPr="00227C94">
        <w:rPr>
          <w:lang w:val="en-US"/>
        </w:rPr>
        <w:t xml:space="preserve"> koz growth p-o-p. Continuing ramp-up a</w:t>
      </w:r>
      <w:r w:rsidR="00C93F0F" w:rsidRPr="00227C94">
        <w:rPr>
          <w:lang w:val="en-US"/>
        </w:rPr>
        <w:t>nd improvement in recovery rate;</w:t>
      </w:r>
    </w:p>
    <w:p w:rsidR="00916675" w:rsidRPr="00227C94" w:rsidRDefault="00916675" w:rsidP="00C93F0F">
      <w:pPr>
        <w:pStyle w:val="20"/>
        <w:rPr>
          <w:lang w:val="en-US"/>
        </w:rPr>
      </w:pPr>
      <w:r w:rsidRPr="00227C94">
        <w:rPr>
          <w:lang w:val="en-US"/>
        </w:rPr>
        <w:t>The Verninskoye mine. 18 koz growth p-o-p. New min</w:t>
      </w:r>
      <w:r w:rsidR="00C93F0F" w:rsidRPr="00227C94">
        <w:rPr>
          <w:lang w:val="en-US"/>
        </w:rPr>
        <w:t>e commissioned in December 2011</w:t>
      </w:r>
      <w:r w:rsidR="00A47976" w:rsidRPr="00227C94">
        <w:rPr>
          <w:lang w:val="en-US"/>
        </w:rPr>
        <w:t xml:space="preserve"> (8 koz growth p-o-p for the Irkutsk ore business unit due to the suspen</w:t>
      </w:r>
      <w:r w:rsidR="007568F1" w:rsidRPr="00227C94">
        <w:rPr>
          <w:lang w:val="en-US"/>
        </w:rPr>
        <w:t>s</w:t>
      </w:r>
      <w:r w:rsidR="00A47976" w:rsidRPr="00227C94">
        <w:rPr>
          <w:lang w:val="en-US"/>
        </w:rPr>
        <w:t>ion of operations at the Zapadnoye mine)</w:t>
      </w:r>
      <w:r w:rsidR="00C93F0F" w:rsidRPr="00227C94">
        <w:rPr>
          <w:lang w:val="en-US"/>
        </w:rPr>
        <w:t>;</w:t>
      </w:r>
      <w:r w:rsidR="007568F1" w:rsidRPr="00227C94">
        <w:rPr>
          <w:lang w:val="en-US"/>
        </w:rPr>
        <w:t xml:space="preserve"> and</w:t>
      </w:r>
    </w:p>
    <w:p w:rsidR="00916675" w:rsidRPr="00227C94" w:rsidRDefault="00916675" w:rsidP="00C93F0F">
      <w:pPr>
        <w:pStyle w:val="20"/>
        <w:rPr>
          <w:lang w:val="en-US"/>
        </w:rPr>
      </w:pPr>
      <w:r w:rsidRPr="00227C94">
        <w:rPr>
          <w:lang w:val="en-US"/>
        </w:rPr>
        <w:t>The Kuranakh mine. 15 koz growth p-o-p. Growth in processing and mining volumes due to enhanced planning, growth in recovery rate.</w:t>
      </w:r>
    </w:p>
    <w:p w:rsidR="00284334" w:rsidRPr="00227C94" w:rsidRDefault="00284334" w:rsidP="00284334">
      <w:pPr>
        <w:pStyle w:val="20"/>
        <w:numPr>
          <w:ilvl w:val="0"/>
          <w:numId w:val="0"/>
        </w:numPr>
        <w:ind w:left="476"/>
        <w:rPr>
          <w:lang w:val="en-US"/>
        </w:rPr>
      </w:pPr>
      <w:r w:rsidRPr="00227C94">
        <w:rPr>
          <w:lang w:val="en-US"/>
        </w:rPr>
        <w:t xml:space="preserve">This was offset by </w:t>
      </w:r>
      <w:r w:rsidR="007568F1" w:rsidRPr="00227C94">
        <w:rPr>
          <w:lang w:val="en-US"/>
        </w:rPr>
        <w:t xml:space="preserve">a </w:t>
      </w:r>
      <w:r w:rsidRPr="00227C94">
        <w:rPr>
          <w:lang w:val="en-US"/>
        </w:rPr>
        <w:t>decrease in production at the Kazakhstan business unit (6 koz decrease p-o-p) and Irkutsk alluvial business unit (1 koz decrease p-o-p).</w:t>
      </w:r>
    </w:p>
    <w:p w:rsidR="00916675" w:rsidRPr="00227C94" w:rsidRDefault="00916675" w:rsidP="00821069">
      <w:pPr>
        <w:pStyle w:val="23"/>
        <w:spacing w:line="180" w:lineRule="exact"/>
        <w:rPr>
          <w:color w:val="auto"/>
          <w:lang w:val="en-US"/>
        </w:rPr>
      </w:pPr>
      <w:bookmarkStart w:id="103" w:name="_DV_M125"/>
      <w:bookmarkEnd w:id="103"/>
    </w:p>
    <w:p w:rsidR="00916675" w:rsidRPr="00227C94" w:rsidRDefault="00916675" w:rsidP="00C93F0F">
      <w:pPr>
        <w:pStyle w:val="31"/>
        <w:rPr>
          <w:lang w:val="en-US"/>
        </w:rPr>
      </w:pPr>
      <w:r w:rsidRPr="00227C94">
        <w:t>Other sales</w:t>
      </w:r>
    </w:p>
    <w:p w:rsidR="00C93F0F" w:rsidRPr="00227C94" w:rsidRDefault="00C93F0F" w:rsidP="00821069">
      <w:pPr>
        <w:pStyle w:val="23"/>
        <w:spacing w:line="180" w:lineRule="exact"/>
        <w:rPr>
          <w:color w:val="auto"/>
          <w:lang w:val="en-US"/>
        </w:rPr>
      </w:pPr>
    </w:p>
    <w:p w:rsidR="007568F1" w:rsidRPr="00227C94" w:rsidRDefault="00916675" w:rsidP="00C93F0F">
      <w:pPr>
        <w:pStyle w:val="23"/>
        <w:rPr>
          <w:color w:val="auto"/>
          <w:spacing w:val="-2"/>
          <w:lang w:val="en-US"/>
        </w:rPr>
      </w:pPr>
      <w:r w:rsidRPr="00227C94">
        <w:rPr>
          <w:color w:val="auto"/>
          <w:spacing w:val="-4"/>
          <w:lang w:val="en-US"/>
        </w:rPr>
        <w:t xml:space="preserve">Revenue from the sale of products other than gold and services (includes sales of electricity, rent services sales, revenue from transportation, handling and storage services, exploration services, and other sales) </w:t>
      </w:r>
      <w:r w:rsidRPr="00227C94">
        <w:rPr>
          <w:color w:val="auto"/>
          <w:lang w:val="en-US"/>
        </w:rPr>
        <w:t xml:space="preserve">has not changed significantly in the first six months of 2012 and amounted to USD29,054 thousand </w:t>
      </w:r>
      <w:r w:rsidRPr="00227C94">
        <w:rPr>
          <w:color w:val="auto"/>
          <w:spacing w:val="-2"/>
          <w:lang w:val="en-US"/>
        </w:rPr>
        <w:t>compared to USD29,007 thousand in</w:t>
      </w:r>
      <w:bookmarkStart w:id="104" w:name="_DV_C159"/>
      <w:r w:rsidRPr="00227C94">
        <w:rPr>
          <w:color w:val="auto"/>
          <w:spacing w:val="-2"/>
          <w:lang w:val="en-US"/>
        </w:rPr>
        <w:t xml:space="preserve"> H1</w:t>
      </w:r>
      <w:r w:rsidR="00F66D2A" w:rsidRPr="00227C94">
        <w:rPr>
          <w:color w:val="auto"/>
          <w:spacing w:val="-2"/>
          <w:lang w:val="en-US"/>
        </w:rPr>
        <w:t xml:space="preserve"> </w:t>
      </w:r>
      <w:r w:rsidRPr="00227C94">
        <w:rPr>
          <w:color w:val="auto"/>
          <w:spacing w:val="-2"/>
          <w:lang w:val="en-US"/>
        </w:rPr>
        <w:t>2011.</w:t>
      </w:r>
      <w:bookmarkStart w:id="105" w:name="_DV_M244"/>
      <w:bookmarkEnd w:id="104"/>
      <w:bookmarkEnd w:id="105"/>
      <w:r w:rsidRPr="00227C94">
        <w:rPr>
          <w:color w:val="auto"/>
          <w:spacing w:val="-2"/>
          <w:lang w:val="en-US"/>
        </w:rPr>
        <w:t xml:space="preserve"> </w:t>
      </w:r>
      <w:bookmarkStart w:id="106" w:name="_DV_M245"/>
      <w:bookmarkEnd w:id="106"/>
      <w:r w:rsidRPr="00227C94">
        <w:rPr>
          <w:color w:val="auto"/>
          <w:spacing w:val="-2"/>
          <w:lang w:val="en-US"/>
        </w:rPr>
        <w:t xml:space="preserve">However, there were changes in components of other </w:t>
      </w:r>
      <w:r w:rsidRPr="00227C94">
        <w:rPr>
          <w:color w:val="auto"/>
          <w:lang w:val="en-US"/>
        </w:rPr>
        <w:t xml:space="preserve">sales. USD denominated rent service sales and exploration service sales decreased 68% and 72% respectively. USD denominated electricity sales increased 30%, driven mostly by </w:t>
      </w:r>
      <w:r w:rsidRPr="00227C94">
        <w:rPr>
          <w:color w:val="auto"/>
          <w:spacing w:val="-2"/>
          <w:lang w:val="en-US"/>
        </w:rPr>
        <w:t xml:space="preserve">increased re-sales of electricity purchased from third parties (rate of power generation at the Mamakan hydro-power plant has not changed p-o-p). Before 2011 electricity tariffs were state-regulated. </w:t>
      </w:r>
    </w:p>
    <w:p w:rsidR="00916675" w:rsidRPr="00227C94" w:rsidRDefault="00C93F0F" w:rsidP="00C93F0F">
      <w:pPr>
        <w:pStyle w:val="23"/>
        <w:rPr>
          <w:color w:val="auto"/>
          <w:spacing w:val="-2"/>
          <w:lang w:val="en-US"/>
        </w:rPr>
      </w:pPr>
      <w:r w:rsidRPr="00227C94">
        <w:rPr>
          <w:color w:val="auto"/>
          <w:spacing w:val="-2"/>
          <w:lang w:val="en-US"/>
        </w:rPr>
        <w:br/>
      </w:r>
      <w:r w:rsidR="00916675" w:rsidRPr="00227C94">
        <w:rPr>
          <w:color w:val="auto"/>
          <w:lang w:val="en-US"/>
        </w:rPr>
        <w:t xml:space="preserve">In 2011 the pricing process was deregulated and tariffs were determined by supply and demand in </w:t>
      </w:r>
      <w:r w:rsidR="00916675" w:rsidRPr="00227C94">
        <w:rPr>
          <w:color w:val="auto"/>
          <w:spacing w:val="-2"/>
          <w:lang w:val="en-US"/>
        </w:rPr>
        <w:t>the electricity market. This led to a substantial increase in electricity tariffs and consequently to higher revenue from sales of electricity received by the Group.</w:t>
      </w:r>
    </w:p>
    <w:p w:rsidR="00C93F0F" w:rsidRPr="00227C94" w:rsidRDefault="00C93F0F" w:rsidP="00821069">
      <w:pPr>
        <w:pStyle w:val="23"/>
        <w:spacing w:line="180" w:lineRule="exact"/>
        <w:rPr>
          <w:color w:val="auto"/>
          <w:lang w:val="en-US"/>
        </w:rPr>
      </w:pPr>
    </w:p>
    <w:p w:rsidR="00916675" w:rsidRPr="00227C94" w:rsidRDefault="00916675" w:rsidP="00C93F0F">
      <w:pPr>
        <w:pStyle w:val="23"/>
        <w:rPr>
          <w:color w:val="auto"/>
          <w:lang w:val="en-US"/>
        </w:rPr>
      </w:pPr>
      <w:r w:rsidRPr="00227C94">
        <w:rPr>
          <w:color w:val="auto"/>
          <w:lang w:val="en-US"/>
        </w:rPr>
        <w:t>Other sales are mostly denominated in roubles, and in rouble terms increased by 6% on p-o-p basis, however this increase was offset by RUB depreciation.</w:t>
      </w:r>
    </w:p>
    <w:p w:rsidR="00C93F0F" w:rsidRPr="00227C94" w:rsidRDefault="00C93F0F" w:rsidP="00821069">
      <w:pPr>
        <w:pStyle w:val="23"/>
        <w:spacing w:line="180" w:lineRule="exact"/>
        <w:rPr>
          <w:color w:val="auto"/>
          <w:lang w:val="en-US"/>
        </w:rPr>
      </w:pPr>
    </w:p>
    <w:p w:rsidR="00916675" w:rsidRPr="00227C94" w:rsidRDefault="00CD1DFC" w:rsidP="00C93F0F">
      <w:pPr>
        <w:pStyle w:val="22"/>
        <w:rPr>
          <w:lang w:val="en-US"/>
        </w:rPr>
      </w:pPr>
      <w:bookmarkStart w:id="107" w:name="_Toc304205601"/>
      <w:r w:rsidRPr="003B340C">
        <w:rPr>
          <w:lang w:val="en-GB"/>
        </w:rPr>
        <w:br w:type="page"/>
      </w:r>
      <w:r w:rsidR="00916675" w:rsidRPr="00227C94">
        <w:lastRenderedPageBreak/>
        <w:t>1.3 Cost of gold sales</w:t>
      </w:r>
      <w:bookmarkStart w:id="108" w:name="_DV_M126"/>
      <w:bookmarkStart w:id="109" w:name="_Toc303889383"/>
      <w:bookmarkEnd w:id="107"/>
      <w:bookmarkEnd w:id="108"/>
      <w:bookmarkEnd w:id="109"/>
    </w:p>
    <w:p w:rsidR="00C93F0F" w:rsidRPr="00227C94" w:rsidRDefault="00C93F0F" w:rsidP="00821069">
      <w:pPr>
        <w:pStyle w:val="23"/>
        <w:spacing w:line="180" w:lineRule="exact"/>
        <w:rPr>
          <w:color w:val="auto"/>
          <w:lang w:val="en-US"/>
        </w:rPr>
      </w:pPr>
    </w:p>
    <w:p w:rsidR="00916675" w:rsidRPr="00227C94" w:rsidRDefault="00916675" w:rsidP="00C93F0F">
      <w:pPr>
        <w:pStyle w:val="23"/>
        <w:rPr>
          <w:color w:val="auto"/>
          <w:lang w:val="en-US"/>
        </w:rPr>
      </w:pPr>
      <w:bookmarkStart w:id="110" w:name="_DV_M127"/>
      <w:bookmarkEnd w:id="110"/>
      <w:r w:rsidRPr="00227C94">
        <w:rPr>
          <w:color w:val="auto"/>
          <w:lang w:val="en-US"/>
        </w:rPr>
        <w:t xml:space="preserve">The following table shows the results of the Group’s cost of gold sales for the 6 months ended </w:t>
      </w:r>
      <w:r w:rsidR="00C93F0F" w:rsidRPr="00227C94">
        <w:rPr>
          <w:color w:val="auto"/>
          <w:lang w:val="en-US"/>
        </w:rPr>
        <w:br/>
      </w:r>
      <w:r w:rsidRPr="00227C94">
        <w:rPr>
          <w:color w:val="auto"/>
          <w:lang w:val="en-US"/>
        </w:rPr>
        <w:t>30 June 2012 and 30 June 2011, and for the year ended 31 December 2011:</w:t>
      </w:r>
    </w:p>
    <w:p w:rsidR="00916675" w:rsidRPr="00227C94" w:rsidRDefault="00916675" w:rsidP="00821069">
      <w:pPr>
        <w:pStyle w:val="23"/>
        <w:spacing w:line="180" w:lineRule="exact"/>
        <w:rPr>
          <w:color w:val="auto"/>
          <w:lang w:val="en-US"/>
        </w:rPr>
      </w:pPr>
    </w:p>
    <w:tbl>
      <w:tblPr>
        <w:tblW w:w="8935" w:type="dxa"/>
        <w:tblInd w:w="476" w:type="dxa"/>
        <w:tblLayout w:type="fixed"/>
        <w:tblCellMar>
          <w:left w:w="0" w:type="dxa"/>
          <w:right w:w="0" w:type="dxa"/>
        </w:tblCellMar>
        <w:tblLook w:val="04A0" w:firstRow="1" w:lastRow="0" w:firstColumn="1" w:lastColumn="0" w:noHBand="0" w:noVBand="1"/>
      </w:tblPr>
      <w:tblGrid>
        <w:gridCol w:w="2928"/>
        <w:gridCol w:w="1417"/>
        <w:gridCol w:w="113"/>
        <w:gridCol w:w="1417"/>
        <w:gridCol w:w="113"/>
        <w:gridCol w:w="1417"/>
        <w:gridCol w:w="113"/>
        <w:gridCol w:w="1417"/>
      </w:tblGrid>
      <w:tr w:rsidR="00821069" w:rsidRPr="00227C94" w:rsidTr="00A701F4">
        <w:trPr>
          <w:cantSplit/>
        </w:trPr>
        <w:tc>
          <w:tcPr>
            <w:tcW w:w="2928" w:type="dxa"/>
            <w:vAlign w:val="bottom"/>
            <w:hideMark/>
          </w:tcPr>
          <w:p w:rsidR="00821069" w:rsidRPr="00227C94" w:rsidRDefault="00821069" w:rsidP="00821069">
            <w:pPr>
              <w:pStyle w:val="tblHeaderText"/>
              <w:jc w:val="left"/>
            </w:pPr>
            <w:bookmarkStart w:id="111" w:name="OLE_LINK3"/>
            <w:r w:rsidRPr="00227C94">
              <w:t>USD‘000</w:t>
            </w:r>
          </w:p>
        </w:tc>
        <w:tc>
          <w:tcPr>
            <w:tcW w:w="2947" w:type="dxa"/>
            <w:gridSpan w:val="3"/>
            <w:tcBorders>
              <w:bottom w:val="single" w:sz="6" w:space="0" w:color="auto"/>
            </w:tcBorders>
            <w:shd w:val="clear" w:color="auto" w:fill="auto"/>
            <w:vAlign w:val="bottom"/>
          </w:tcPr>
          <w:p w:rsidR="00821069" w:rsidRPr="00227C94" w:rsidRDefault="00821069" w:rsidP="00821069">
            <w:pPr>
              <w:pStyle w:val="tblHeaderText"/>
            </w:pPr>
            <w:r w:rsidRPr="00227C94">
              <w:t>Six months ended 30 June</w:t>
            </w:r>
          </w:p>
        </w:tc>
        <w:tc>
          <w:tcPr>
            <w:tcW w:w="113" w:type="dxa"/>
          </w:tcPr>
          <w:p w:rsidR="00821069" w:rsidRPr="00227C94" w:rsidRDefault="00821069" w:rsidP="00821069">
            <w:pPr>
              <w:pStyle w:val="tblHeaderText"/>
            </w:pPr>
          </w:p>
        </w:tc>
        <w:tc>
          <w:tcPr>
            <w:tcW w:w="1417" w:type="dxa"/>
            <w:vAlign w:val="bottom"/>
          </w:tcPr>
          <w:p w:rsidR="0054138A" w:rsidRPr="00227C94" w:rsidRDefault="00821069" w:rsidP="00821069">
            <w:pPr>
              <w:pStyle w:val="tblHeaderText"/>
              <w:rPr>
                <w:lang w:val="en-US"/>
              </w:rPr>
            </w:pPr>
            <w:r w:rsidRPr="00227C94">
              <w:t xml:space="preserve">% </w:t>
            </w:r>
          </w:p>
          <w:p w:rsidR="00821069" w:rsidRPr="00227C94" w:rsidRDefault="00821069" w:rsidP="00821069">
            <w:pPr>
              <w:pStyle w:val="tblHeaderText"/>
            </w:pPr>
            <w:r w:rsidRPr="00227C94">
              <w:t>change</w:t>
            </w:r>
          </w:p>
        </w:tc>
        <w:tc>
          <w:tcPr>
            <w:tcW w:w="113" w:type="dxa"/>
          </w:tcPr>
          <w:p w:rsidR="00821069" w:rsidRPr="00227C94" w:rsidRDefault="00821069" w:rsidP="00821069">
            <w:pPr>
              <w:pStyle w:val="tblHeaderText"/>
            </w:pPr>
          </w:p>
        </w:tc>
        <w:tc>
          <w:tcPr>
            <w:tcW w:w="1417" w:type="dxa"/>
          </w:tcPr>
          <w:p w:rsidR="00821069" w:rsidRPr="00227C94" w:rsidRDefault="00821069" w:rsidP="00821069">
            <w:pPr>
              <w:pStyle w:val="tblHeaderText"/>
            </w:pPr>
            <w:r w:rsidRPr="00227C94">
              <w:t xml:space="preserve">Year ended </w:t>
            </w:r>
            <w:r w:rsidRPr="00227C94">
              <w:rPr>
                <w:lang w:val="en-US"/>
              </w:rPr>
              <w:br/>
            </w:r>
            <w:r w:rsidRPr="00227C94">
              <w:t>31 December</w:t>
            </w:r>
          </w:p>
        </w:tc>
      </w:tr>
      <w:tr w:rsidR="00821069" w:rsidRPr="00227C94" w:rsidTr="00A701F4">
        <w:trPr>
          <w:cantSplit/>
        </w:trPr>
        <w:tc>
          <w:tcPr>
            <w:tcW w:w="2928" w:type="dxa"/>
            <w:vAlign w:val="center"/>
          </w:tcPr>
          <w:p w:rsidR="00821069" w:rsidRPr="00227C94" w:rsidRDefault="00821069" w:rsidP="00821069">
            <w:pPr>
              <w:pStyle w:val="tblHeaderText"/>
              <w:jc w:val="left"/>
            </w:pPr>
          </w:p>
        </w:tc>
        <w:tc>
          <w:tcPr>
            <w:tcW w:w="1417" w:type="dxa"/>
            <w:tcBorders>
              <w:top w:val="single" w:sz="6" w:space="0" w:color="auto"/>
              <w:bottom w:val="single" w:sz="6" w:space="0" w:color="auto"/>
            </w:tcBorders>
            <w:shd w:val="clear" w:color="auto" w:fill="auto"/>
            <w:vAlign w:val="bottom"/>
          </w:tcPr>
          <w:p w:rsidR="00821069" w:rsidRPr="00227C94" w:rsidRDefault="00821069" w:rsidP="00821069">
            <w:pPr>
              <w:pStyle w:val="tblHeaderText"/>
            </w:pPr>
            <w:r w:rsidRPr="00227C94">
              <w:t>2012</w:t>
            </w:r>
          </w:p>
        </w:tc>
        <w:tc>
          <w:tcPr>
            <w:tcW w:w="113" w:type="dxa"/>
            <w:tcBorders>
              <w:top w:val="single" w:sz="6" w:space="0" w:color="auto"/>
            </w:tcBorders>
            <w:shd w:val="clear" w:color="auto" w:fill="auto"/>
          </w:tcPr>
          <w:p w:rsidR="00821069" w:rsidRPr="00227C94" w:rsidRDefault="00821069" w:rsidP="00821069">
            <w:pPr>
              <w:pStyle w:val="tblHeaderText"/>
            </w:pPr>
          </w:p>
        </w:tc>
        <w:tc>
          <w:tcPr>
            <w:tcW w:w="1417" w:type="dxa"/>
            <w:tcBorders>
              <w:top w:val="single" w:sz="6" w:space="0" w:color="auto"/>
              <w:bottom w:val="single" w:sz="6" w:space="0" w:color="auto"/>
            </w:tcBorders>
            <w:shd w:val="clear" w:color="auto" w:fill="auto"/>
            <w:vAlign w:val="bottom"/>
          </w:tcPr>
          <w:p w:rsidR="00821069" w:rsidRPr="00227C94" w:rsidRDefault="00821069" w:rsidP="00821069">
            <w:pPr>
              <w:pStyle w:val="tblHeaderText"/>
            </w:pPr>
            <w:r w:rsidRPr="00227C94">
              <w:t>2011</w:t>
            </w:r>
          </w:p>
        </w:tc>
        <w:tc>
          <w:tcPr>
            <w:tcW w:w="113" w:type="dxa"/>
          </w:tcPr>
          <w:p w:rsidR="00821069" w:rsidRPr="00227C94" w:rsidRDefault="00821069" w:rsidP="00821069">
            <w:pPr>
              <w:pStyle w:val="tblHeaderText"/>
            </w:pPr>
          </w:p>
        </w:tc>
        <w:tc>
          <w:tcPr>
            <w:tcW w:w="1417" w:type="dxa"/>
            <w:tcBorders>
              <w:bottom w:val="single" w:sz="6" w:space="0" w:color="auto"/>
            </w:tcBorders>
            <w:shd w:val="clear" w:color="auto" w:fill="auto"/>
            <w:vAlign w:val="bottom"/>
          </w:tcPr>
          <w:p w:rsidR="00821069" w:rsidRPr="00227C94" w:rsidRDefault="00821069" w:rsidP="00821069">
            <w:pPr>
              <w:pStyle w:val="tblHeaderText"/>
            </w:pPr>
            <w:r w:rsidRPr="00227C94">
              <w:t>p-o-p</w:t>
            </w:r>
          </w:p>
        </w:tc>
        <w:tc>
          <w:tcPr>
            <w:tcW w:w="113" w:type="dxa"/>
          </w:tcPr>
          <w:p w:rsidR="00821069" w:rsidRPr="00227C94" w:rsidRDefault="00821069" w:rsidP="00821069">
            <w:pPr>
              <w:pStyle w:val="tblHeaderText"/>
            </w:pPr>
          </w:p>
        </w:tc>
        <w:tc>
          <w:tcPr>
            <w:tcW w:w="1417" w:type="dxa"/>
            <w:tcBorders>
              <w:bottom w:val="single" w:sz="6" w:space="0" w:color="auto"/>
            </w:tcBorders>
            <w:shd w:val="clear" w:color="auto" w:fill="auto"/>
          </w:tcPr>
          <w:p w:rsidR="00821069" w:rsidRPr="00227C94" w:rsidRDefault="00821069" w:rsidP="00821069">
            <w:pPr>
              <w:pStyle w:val="tblHeaderText"/>
            </w:pPr>
            <w:r w:rsidRPr="00227C94">
              <w:t>2011</w:t>
            </w:r>
          </w:p>
        </w:tc>
      </w:tr>
      <w:tr w:rsidR="00821069" w:rsidRPr="00227C94" w:rsidTr="00A701F4">
        <w:trPr>
          <w:cantSplit/>
          <w:trHeight w:hRule="exact" w:val="113"/>
        </w:trPr>
        <w:tc>
          <w:tcPr>
            <w:tcW w:w="2928" w:type="dxa"/>
            <w:vAlign w:val="center"/>
          </w:tcPr>
          <w:p w:rsidR="00821069" w:rsidRPr="00227C94" w:rsidRDefault="00821069" w:rsidP="00821069">
            <w:pPr>
              <w:pStyle w:val="tblHeaderText"/>
              <w:jc w:val="left"/>
            </w:pPr>
          </w:p>
        </w:tc>
        <w:tc>
          <w:tcPr>
            <w:tcW w:w="1417" w:type="dxa"/>
            <w:tcBorders>
              <w:top w:val="single" w:sz="6" w:space="0" w:color="auto"/>
            </w:tcBorders>
            <w:shd w:val="clear" w:color="auto" w:fill="auto"/>
            <w:vAlign w:val="bottom"/>
          </w:tcPr>
          <w:p w:rsidR="00821069" w:rsidRPr="00227C94" w:rsidRDefault="00821069" w:rsidP="00821069">
            <w:pPr>
              <w:pStyle w:val="tblHeaderText"/>
            </w:pPr>
          </w:p>
        </w:tc>
        <w:tc>
          <w:tcPr>
            <w:tcW w:w="113" w:type="dxa"/>
          </w:tcPr>
          <w:p w:rsidR="00821069" w:rsidRPr="00227C94" w:rsidRDefault="00821069" w:rsidP="00821069">
            <w:pPr>
              <w:pStyle w:val="tblHeaderText"/>
            </w:pPr>
          </w:p>
        </w:tc>
        <w:tc>
          <w:tcPr>
            <w:tcW w:w="1417" w:type="dxa"/>
            <w:tcBorders>
              <w:top w:val="single" w:sz="6" w:space="0" w:color="auto"/>
            </w:tcBorders>
            <w:shd w:val="clear" w:color="auto" w:fill="auto"/>
            <w:vAlign w:val="bottom"/>
          </w:tcPr>
          <w:p w:rsidR="00821069" w:rsidRPr="00227C94" w:rsidRDefault="00821069" w:rsidP="00821069">
            <w:pPr>
              <w:pStyle w:val="tblHeaderText"/>
            </w:pPr>
          </w:p>
        </w:tc>
        <w:tc>
          <w:tcPr>
            <w:tcW w:w="113" w:type="dxa"/>
            <w:shd w:val="clear" w:color="auto" w:fill="auto"/>
          </w:tcPr>
          <w:p w:rsidR="00821069" w:rsidRPr="00227C94" w:rsidRDefault="00821069" w:rsidP="00821069">
            <w:pPr>
              <w:pStyle w:val="tblHeaderText"/>
            </w:pPr>
          </w:p>
        </w:tc>
        <w:tc>
          <w:tcPr>
            <w:tcW w:w="1417" w:type="dxa"/>
            <w:tcBorders>
              <w:top w:val="single" w:sz="6" w:space="0" w:color="auto"/>
            </w:tcBorders>
            <w:shd w:val="clear" w:color="auto" w:fill="auto"/>
            <w:vAlign w:val="bottom"/>
          </w:tcPr>
          <w:p w:rsidR="00821069" w:rsidRPr="00227C94" w:rsidRDefault="00821069" w:rsidP="00821069">
            <w:pPr>
              <w:pStyle w:val="tblHeaderText"/>
            </w:pPr>
          </w:p>
        </w:tc>
        <w:tc>
          <w:tcPr>
            <w:tcW w:w="113" w:type="dxa"/>
            <w:shd w:val="clear" w:color="auto" w:fill="auto"/>
          </w:tcPr>
          <w:p w:rsidR="00821069" w:rsidRPr="00227C94" w:rsidRDefault="00821069" w:rsidP="00821069">
            <w:pPr>
              <w:pStyle w:val="tblHeaderText"/>
            </w:pPr>
          </w:p>
        </w:tc>
        <w:tc>
          <w:tcPr>
            <w:tcW w:w="1417" w:type="dxa"/>
            <w:tcBorders>
              <w:top w:val="single" w:sz="6" w:space="0" w:color="auto"/>
            </w:tcBorders>
            <w:shd w:val="clear" w:color="auto" w:fill="auto"/>
          </w:tcPr>
          <w:p w:rsidR="00821069" w:rsidRPr="00227C94" w:rsidRDefault="00821069" w:rsidP="00821069">
            <w:pPr>
              <w:pStyle w:val="tblHeaderText"/>
            </w:pPr>
          </w:p>
        </w:tc>
      </w:tr>
      <w:tr w:rsidR="00821069" w:rsidRPr="00227C94" w:rsidTr="00821069">
        <w:trPr>
          <w:cantSplit/>
        </w:trPr>
        <w:tc>
          <w:tcPr>
            <w:tcW w:w="2928" w:type="dxa"/>
            <w:vAlign w:val="center"/>
            <w:hideMark/>
          </w:tcPr>
          <w:p w:rsidR="00821069" w:rsidRPr="00227C94" w:rsidRDefault="00821069" w:rsidP="00821069">
            <w:pPr>
              <w:pStyle w:val="tblText05"/>
              <w:rPr>
                <w:lang w:val="en-US"/>
              </w:rPr>
            </w:pPr>
            <w:r w:rsidRPr="00227C94">
              <w:rPr>
                <w:lang w:val="en-US"/>
              </w:rPr>
              <w:t>Fuel, consumables and spares, out of which:</w:t>
            </w:r>
          </w:p>
        </w:tc>
        <w:tc>
          <w:tcPr>
            <w:tcW w:w="1417" w:type="dxa"/>
            <w:vAlign w:val="bottom"/>
            <w:hideMark/>
          </w:tcPr>
          <w:p w:rsidR="00821069" w:rsidRPr="00227C94" w:rsidRDefault="00821069" w:rsidP="00821069">
            <w:pPr>
              <w:pStyle w:val="tblNumber01"/>
            </w:pPr>
            <w:r w:rsidRPr="00227C94">
              <w:t>232,550</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194,171</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20</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410,243</w:t>
            </w:r>
          </w:p>
        </w:tc>
      </w:tr>
      <w:tr w:rsidR="00821069" w:rsidRPr="00227C94" w:rsidTr="00821069">
        <w:trPr>
          <w:cantSplit/>
        </w:trPr>
        <w:tc>
          <w:tcPr>
            <w:tcW w:w="2928" w:type="dxa"/>
            <w:vAlign w:val="center"/>
            <w:hideMark/>
          </w:tcPr>
          <w:p w:rsidR="00821069" w:rsidRPr="00227C94" w:rsidRDefault="00821069" w:rsidP="00821069">
            <w:pPr>
              <w:pStyle w:val="tblText05"/>
              <w:ind w:left="680"/>
              <w:rPr>
                <w:i/>
              </w:rPr>
            </w:pPr>
            <w:r w:rsidRPr="00227C94">
              <w:rPr>
                <w:i/>
              </w:rPr>
              <w:t>Materials and spares</w:t>
            </w:r>
          </w:p>
        </w:tc>
        <w:tc>
          <w:tcPr>
            <w:tcW w:w="1417" w:type="dxa"/>
            <w:vAlign w:val="bottom"/>
            <w:hideMark/>
          </w:tcPr>
          <w:p w:rsidR="00821069" w:rsidRPr="00227C94" w:rsidRDefault="00821069" w:rsidP="00821069">
            <w:pPr>
              <w:pStyle w:val="tblNumber01"/>
              <w:rPr>
                <w:i/>
              </w:rPr>
            </w:pPr>
            <w:r w:rsidRPr="00227C94">
              <w:rPr>
                <w:i/>
              </w:rPr>
              <w:t>165,260</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rPr>
                <w:i/>
              </w:rPr>
            </w:pPr>
            <w:r w:rsidRPr="00227C94">
              <w:rPr>
                <w:i/>
              </w:rPr>
              <w:t>139,484</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rPr>
                <w:i/>
              </w:rPr>
            </w:pPr>
            <w:r w:rsidRPr="00227C94">
              <w:rPr>
                <w:i/>
              </w:rPr>
              <w:t>18</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rPr>
                <w:i/>
              </w:rPr>
            </w:pPr>
            <w:r w:rsidRPr="00227C94">
              <w:rPr>
                <w:i/>
              </w:rPr>
              <w:t>296,442</w:t>
            </w:r>
          </w:p>
        </w:tc>
      </w:tr>
      <w:tr w:rsidR="00821069" w:rsidRPr="00227C94" w:rsidTr="00821069">
        <w:trPr>
          <w:cantSplit/>
        </w:trPr>
        <w:tc>
          <w:tcPr>
            <w:tcW w:w="2928" w:type="dxa"/>
            <w:vAlign w:val="center"/>
            <w:hideMark/>
          </w:tcPr>
          <w:p w:rsidR="00821069" w:rsidRPr="00227C94" w:rsidRDefault="00821069" w:rsidP="00821069">
            <w:pPr>
              <w:pStyle w:val="tblText05"/>
              <w:ind w:left="680"/>
              <w:rPr>
                <w:i/>
              </w:rPr>
            </w:pPr>
            <w:r w:rsidRPr="00227C94">
              <w:rPr>
                <w:i/>
              </w:rPr>
              <w:t>Fuel</w:t>
            </w:r>
          </w:p>
        </w:tc>
        <w:tc>
          <w:tcPr>
            <w:tcW w:w="1417" w:type="dxa"/>
            <w:vAlign w:val="bottom"/>
            <w:hideMark/>
          </w:tcPr>
          <w:p w:rsidR="00821069" w:rsidRPr="00227C94" w:rsidRDefault="00821069" w:rsidP="00821069">
            <w:pPr>
              <w:pStyle w:val="tblNumber01"/>
              <w:rPr>
                <w:i/>
              </w:rPr>
            </w:pPr>
            <w:r w:rsidRPr="00227C94">
              <w:rPr>
                <w:i/>
              </w:rPr>
              <w:t>67,290</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rPr>
                <w:i/>
              </w:rPr>
            </w:pPr>
            <w:r w:rsidRPr="00227C94">
              <w:rPr>
                <w:i/>
              </w:rPr>
              <w:t>54,687</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rPr>
                <w:i/>
              </w:rPr>
            </w:pPr>
            <w:r w:rsidRPr="00227C94">
              <w:rPr>
                <w:i/>
              </w:rPr>
              <w:t>23</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rPr>
                <w:i/>
              </w:rPr>
            </w:pPr>
            <w:r w:rsidRPr="00227C94">
              <w:rPr>
                <w:i/>
              </w:rPr>
              <w:t>113,801</w:t>
            </w:r>
          </w:p>
        </w:tc>
      </w:tr>
      <w:tr w:rsidR="00821069" w:rsidRPr="00227C94" w:rsidTr="00821069">
        <w:trPr>
          <w:cantSplit/>
        </w:trPr>
        <w:tc>
          <w:tcPr>
            <w:tcW w:w="2928" w:type="dxa"/>
            <w:vAlign w:val="center"/>
            <w:hideMark/>
          </w:tcPr>
          <w:p w:rsidR="00821069" w:rsidRPr="00227C94" w:rsidRDefault="00821069" w:rsidP="00821069">
            <w:pPr>
              <w:pStyle w:val="tblText05"/>
            </w:pPr>
            <w:r w:rsidRPr="00227C94">
              <w:t>Labour</w:t>
            </w:r>
          </w:p>
        </w:tc>
        <w:tc>
          <w:tcPr>
            <w:tcW w:w="1417" w:type="dxa"/>
            <w:vAlign w:val="bottom"/>
            <w:hideMark/>
          </w:tcPr>
          <w:p w:rsidR="00821069" w:rsidRPr="00227C94" w:rsidRDefault="00821069" w:rsidP="00821069">
            <w:pPr>
              <w:pStyle w:val="tblNumber01"/>
            </w:pPr>
            <w:r w:rsidRPr="00227C94">
              <w:t>157,860</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122,268</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29</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288,866</w:t>
            </w:r>
          </w:p>
        </w:tc>
      </w:tr>
      <w:tr w:rsidR="00821069" w:rsidRPr="00227C94" w:rsidTr="00821069">
        <w:trPr>
          <w:cantSplit/>
        </w:trPr>
        <w:tc>
          <w:tcPr>
            <w:tcW w:w="2928" w:type="dxa"/>
            <w:vAlign w:val="center"/>
            <w:hideMark/>
          </w:tcPr>
          <w:p w:rsidR="00821069" w:rsidRPr="00227C94" w:rsidRDefault="00821069" w:rsidP="00821069">
            <w:pPr>
              <w:pStyle w:val="tblText05"/>
            </w:pPr>
            <w:r w:rsidRPr="00227C94">
              <w:t>Tax on mining</w:t>
            </w:r>
          </w:p>
        </w:tc>
        <w:tc>
          <w:tcPr>
            <w:tcW w:w="1417" w:type="dxa"/>
            <w:vAlign w:val="bottom"/>
            <w:hideMark/>
          </w:tcPr>
          <w:p w:rsidR="00821069" w:rsidRPr="00227C94" w:rsidRDefault="00821069" w:rsidP="00821069">
            <w:pPr>
              <w:pStyle w:val="tblNumber01"/>
            </w:pPr>
            <w:r w:rsidRPr="00227C94">
              <w:t>90,842</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71,393</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27</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179,116</w:t>
            </w:r>
          </w:p>
        </w:tc>
      </w:tr>
      <w:tr w:rsidR="00821069" w:rsidRPr="00227C94" w:rsidTr="00821069">
        <w:trPr>
          <w:cantSplit/>
        </w:trPr>
        <w:tc>
          <w:tcPr>
            <w:tcW w:w="2928" w:type="dxa"/>
            <w:vAlign w:val="center"/>
            <w:hideMark/>
          </w:tcPr>
          <w:p w:rsidR="00821069" w:rsidRPr="00227C94" w:rsidRDefault="00821069" w:rsidP="00821069">
            <w:pPr>
              <w:pStyle w:val="tblText05"/>
            </w:pPr>
            <w:r w:rsidRPr="00227C94">
              <w:t>Utilities, out of which:</w:t>
            </w:r>
          </w:p>
        </w:tc>
        <w:tc>
          <w:tcPr>
            <w:tcW w:w="1417" w:type="dxa"/>
            <w:vAlign w:val="bottom"/>
            <w:hideMark/>
          </w:tcPr>
          <w:p w:rsidR="00821069" w:rsidRPr="00227C94" w:rsidRDefault="00821069" w:rsidP="00821069">
            <w:pPr>
              <w:pStyle w:val="tblNumber01"/>
            </w:pPr>
            <w:r w:rsidRPr="00227C94">
              <w:t>28,288</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29,595</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0"/>
            </w:pPr>
            <w:r w:rsidRPr="00227C94">
              <w:t>(4)</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55,140</w:t>
            </w:r>
          </w:p>
        </w:tc>
      </w:tr>
      <w:tr w:rsidR="00821069" w:rsidRPr="00227C94" w:rsidTr="00821069">
        <w:trPr>
          <w:cantSplit/>
        </w:trPr>
        <w:tc>
          <w:tcPr>
            <w:tcW w:w="2928" w:type="dxa"/>
            <w:vAlign w:val="center"/>
            <w:hideMark/>
          </w:tcPr>
          <w:p w:rsidR="00821069" w:rsidRPr="00227C94" w:rsidRDefault="00821069" w:rsidP="00821069">
            <w:pPr>
              <w:pStyle w:val="tblText05"/>
              <w:ind w:left="680"/>
              <w:rPr>
                <w:i/>
              </w:rPr>
            </w:pPr>
            <w:r w:rsidRPr="00227C94">
              <w:rPr>
                <w:i/>
              </w:rPr>
              <w:t>Power</w:t>
            </w:r>
          </w:p>
        </w:tc>
        <w:tc>
          <w:tcPr>
            <w:tcW w:w="1417" w:type="dxa"/>
            <w:vAlign w:val="bottom"/>
            <w:hideMark/>
          </w:tcPr>
          <w:p w:rsidR="00821069" w:rsidRPr="00227C94" w:rsidRDefault="00821069" w:rsidP="00821069">
            <w:pPr>
              <w:pStyle w:val="tblNumber01"/>
              <w:rPr>
                <w:i/>
              </w:rPr>
            </w:pPr>
            <w:r w:rsidRPr="00227C94">
              <w:rPr>
                <w:i/>
              </w:rPr>
              <w:t>27,407</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rPr>
                <w:i/>
              </w:rPr>
            </w:pPr>
            <w:r w:rsidRPr="00227C94">
              <w:rPr>
                <w:i/>
              </w:rPr>
              <w:t>28,996</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0"/>
              <w:rPr>
                <w:i/>
              </w:rPr>
            </w:pPr>
            <w:r w:rsidRPr="00227C94">
              <w:rPr>
                <w:i/>
              </w:rPr>
              <w:t>(5)</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rPr>
                <w:i/>
              </w:rPr>
            </w:pPr>
            <w:r w:rsidRPr="00227C94">
              <w:rPr>
                <w:i/>
              </w:rPr>
              <w:t>53,092</w:t>
            </w:r>
          </w:p>
        </w:tc>
      </w:tr>
      <w:tr w:rsidR="00821069" w:rsidRPr="00227C94" w:rsidTr="00821069">
        <w:trPr>
          <w:cantSplit/>
        </w:trPr>
        <w:tc>
          <w:tcPr>
            <w:tcW w:w="2928" w:type="dxa"/>
            <w:vAlign w:val="center"/>
            <w:hideMark/>
          </w:tcPr>
          <w:p w:rsidR="00821069" w:rsidRPr="00227C94" w:rsidRDefault="00821069" w:rsidP="00821069">
            <w:pPr>
              <w:pStyle w:val="tblText05"/>
              <w:ind w:left="680"/>
              <w:rPr>
                <w:i/>
              </w:rPr>
            </w:pPr>
            <w:r w:rsidRPr="00227C94">
              <w:rPr>
                <w:i/>
              </w:rPr>
              <w:t>Other</w:t>
            </w:r>
          </w:p>
        </w:tc>
        <w:tc>
          <w:tcPr>
            <w:tcW w:w="1417" w:type="dxa"/>
            <w:vAlign w:val="bottom"/>
            <w:hideMark/>
          </w:tcPr>
          <w:p w:rsidR="00821069" w:rsidRPr="00227C94" w:rsidRDefault="00821069" w:rsidP="00821069">
            <w:pPr>
              <w:pStyle w:val="tblNumber01"/>
              <w:rPr>
                <w:i/>
              </w:rPr>
            </w:pPr>
            <w:r w:rsidRPr="00227C94">
              <w:rPr>
                <w:i/>
              </w:rPr>
              <w:t>881</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rPr>
                <w:i/>
              </w:rPr>
            </w:pPr>
            <w:r w:rsidRPr="00227C94">
              <w:rPr>
                <w:i/>
              </w:rPr>
              <w:t>599</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rPr>
                <w:i/>
              </w:rPr>
            </w:pPr>
            <w:r w:rsidRPr="00227C94">
              <w:rPr>
                <w:i/>
              </w:rPr>
              <w:t>47</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rPr>
                <w:i/>
              </w:rPr>
            </w:pPr>
            <w:r w:rsidRPr="00227C94">
              <w:rPr>
                <w:i/>
              </w:rPr>
              <w:t>2,048</w:t>
            </w:r>
          </w:p>
        </w:tc>
      </w:tr>
      <w:tr w:rsidR="00821069" w:rsidRPr="00227C94" w:rsidTr="00821069">
        <w:trPr>
          <w:cantSplit/>
        </w:trPr>
        <w:tc>
          <w:tcPr>
            <w:tcW w:w="2928" w:type="dxa"/>
            <w:vAlign w:val="center"/>
            <w:hideMark/>
          </w:tcPr>
          <w:p w:rsidR="00821069" w:rsidRPr="00227C94" w:rsidRDefault="00821069" w:rsidP="00821069">
            <w:pPr>
              <w:pStyle w:val="tblText05"/>
            </w:pPr>
            <w:r w:rsidRPr="00227C94">
              <w:t>Outsourced mining services</w:t>
            </w:r>
          </w:p>
        </w:tc>
        <w:tc>
          <w:tcPr>
            <w:tcW w:w="1417" w:type="dxa"/>
            <w:vAlign w:val="bottom"/>
            <w:hideMark/>
          </w:tcPr>
          <w:p w:rsidR="00821069" w:rsidRPr="00227C94" w:rsidRDefault="00821069" w:rsidP="00821069">
            <w:pPr>
              <w:pStyle w:val="tblNumber01"/>
            </w:pPr>
            <w:r w:rsidRPr="00227C94">
              <w:t>7,099</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3,374</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110</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22,147</w:t>
            </w:r>
          </w:p>
        </w:tc>
      </w:tr>
      <w:tr w:rsidR="00821069" w:rsidRPr="00227C94" w:rsidTr="00007AA3">
        <w:trPr>
          <w:cantSplit/>
        </w:trPr>
        <w:tc>
          <w:tcPr>
            <w:tcW w:w="2928" w:type="dxa"/>
            <w:vAlign w:val="center"/>
            <w:hideMark/>
          </w:tcPr>
          <w:p w:rsidR="00821069" w:rsidRPr="00227C94" w:rsidRDefault="00821069" w:rsidP="00821069">
            <w:pPr>
              <w:pStyle w:val="tblText05"/>
            </w:pPr>
            <w:r w:rsidRPr="00227C94">
              <w:t>Refining costs</w:t>
            </w:r>
          </w:p>
        </w:tc>
        <w:tc>
          <w:tcPr>
            <w:tcW w:w="1417" w:type="dxa"/>
            <w:vAlign w:val="bottom"/>
            <w:hideMark/>
          </w:tcPr>
          <w:p w:rsidR="00821069" w:rsidRPr="00227C94" w:rsidRDefault="00821069" w:rsidP="00821069">
            <w:pPr>
              <w:pStyle w:val="tblNumber01"/>
            </w:pPr>
            <w:r w:rsidRPr="00227C94">
              <w:t>2,458</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1,926</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28</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5,067</w:t>
            </w:r>
          </w:p>
        </w:tc>
      </w:tr>
      <w:tr w:rsidR="00821069" w:rsidRPr="00227C94" w:rsidTr="00007AA3">
        <w:trPr>
          <w:cantSplit/>
        </w:trPr>
        <w:tc>
          <w:tcPr>
            <w:tcW w:w="2928" w:type="dxa"/>
            <w:vAlign w:val="center"/>
            <w:hideMark/>
          </w:tcPr>
          <w:p w:rsidR="00821069" w:rsidRPr="00227C94" w:rsidRDefault="00821069" w:rsidP="00821069">
            <w:pPr>
              <w:pStyle w:val="tblText05"/>
            </w:pPr>
            <w:r w:rsidRPr="00227C94">
              <w:t>Others</w:t>
            </w:r>
          </w:p>
        </w:tc>
        <w:tc>
          <w:tcPr>
            <w:tcW w:w="1417" w:type="dxa"/>
            <w:tcBorders>
              <w:bottom w:val="single" w:sz="4" w:space="0" w:color="auto"/>
            </w:tcBorders>
            <w:vAlign w:val="bottom"/>
            <w:hideMark/>
          </w:tcPr>
          <w:p w:rsidR="00821069" w:rsidRPr="00227C94" w:rsidRDefault="00821069" w:rsidP="00821069">
            <w:pPr>
              <w:pStyle w:val="tblNumber01"/>
            </w:pPr>
            <w:r w:rsidRPr="00227C94">
              <w:t>42,417</w:t>
            </w:r>
          </w:p>
        </w:tc>
        <w:tc>
          <w:tcPr>
            <w:tcW w:w="113" w:type="dxa"/>
            <w:vAlign w:val="bottom"/>
          </w:tcPr>
          <w:p w:rsidR="00821069" w:rsidRPr="00227C94" w:rsidRDefault="00821069" w:rsidP="00821069">
            <w:pPr>
              <w:pStyle w:val="tblNumber01"/>
            </w:pPr>
          </w:p>
        </w:tc>
        <w:tc>
          <w:tcPr>
            <w:tcW w:w="1417" w:type="dxa"/>
            <w:tcBorders>
              <w:bottom w:val="single" w:sz="4" w:space="0" w:color="auto"/>
            </w:tcBorders>
            <w:vAlign w:val="bottom"/>
            <w:hideMark/>
          </w:tcPr>
          <w:p w:rsidR="00821069" w:rsidRPr="00227C94" w:rsidRDefault="00821069" w:rsidP="00821069">
            <w:pPr>
              <w:pStyle w:val="tblNumber01"/>
            </w:pPr>
            <w:r w:rsidRPr="00227C94">
              <w:t>26,481</w:t>
            </w:r>
          </w:p>
        </w:tc>
        <w:tc>
          <w:tcPr>
            <w:tcW w:w="113" w:type="dxa"/>
            <w:vAlign w:val="bottom"/>
          </w:tcPr>
          <w:p w:rsidR="00821069" w:rsidRPr="00227C94" w:rsidRDefault="00821069" w:rsidP="00821069">
            <w:pPr>
              <w:pStyle w:val="tblNumber01"/>
            </w:pPr>
          </w:p>
        </w:tc>
        <w:tc>
          <w:tcPr>
            <w:tcW w:w="1417" w:type="dxa"/>
            <w:tcBorders>
              <w:bottom w:val="single" w:sz="4" w:space="0" w:color="auto"/>
            </w:tcBorders>
            <w:vAlign w:val="bottom"/>
            <w:hideMark/>
          </w:tcPr>
          <w:p w:rsidR="00821069" w:rsidRPr="00227C94" w:rsidRDefault="00821069" w:rsidP="00821069">
            <w:pPr>
              <w:pStyle w:val="tblNumber01"/>
            </w:pPr>
            <w:r w:rsidRPr="00227C94">
              <w:t>60</w:t>
            </w:r>
          </w:p>
        </w:tc>
        <w:tc>
          <w:tcPr>
            <w:tcW w:w="113" w:type="dxa"/>
            <w:vAlign w:val="bottom"/>
          </w:tcPr>
          <w:p w:rsidR="00821069" w:rsidRPr="00227C94" w:rsidRDefault="00821069" w:rsidP="00821069">
            <w:pPr>
              <w:pStyle w:val="tblNumber01"/>
            </w:pPr>
          </w:p>
        </w:tc>
        <w:tc>
          <w:tcPr>
            <w:tcW w:w="1417" w:type="dxa"/>
            <w:tcBorders>
              <w:bottom w:val="single" w:sz="4" w:space="0" w:color="auto"/>
            </w:tcBorders>
            <w:vAlign w:val="bottom"/>
            <w:hideMark/>
          </w:tcPr>
          <w:p w:rsidR="00821069" w:rsidRPr="00227C94" w:rsidRDefault="00821069" w:rsidP="00821069">
            <w:pPr>
              <w:pStyle w:val="tblNumber01"/>
            </w:pPr>
            <w:r w:rsidRPr="00227C94">
              <w:t>75,696</w:t>
            </w:r>
          </w:p>
        </w:tc>
      </w:tr>
      <w:tr w:rsidR="00AA101D" w:rsidRPr="00227C94" w:rsidTr="00007AA3">
        <w:trPr>
          <w:cantSplit/>
        </w:trPr>
        <w:tc>
          <w:tcPr>
            <w:tcW w:w="2928" w:type="dxa"/>
            <w:vAlign w:val="center"/>
            <w:hideMark/>
          </w:tcPr>
          <w:p w:rsidR="00AA101D" w:rsidRPr="00227C94" w:rsidRDefault="00AA101D" w:rsidP="006A371A">
            <w:pPr>
              <w:pStyle w:val="tblText02"/>
              <w:rPr>
                <w:b/>
              </w:rPr>
            </w:pPr>
            <w:r w:rsidRPr="00227C94">
              <w:rPr>
                <w:b/>
              </w:rPr>
              <w:t>Cash operating costs</w:t>
            </w:r>
          </w:p>
        </w:tc>
        <w:tc>
          <w:tcPr>
            <w:tcW w:w="1417" w:type="dxa"/>
            <w:tcBorders>
              <w:top w:val="single" w:sz="4" w:space="0" w:color="auto"/>
            </w:tcBorders>
            <w:vAlign w:val="bottom"/>
            <w:hideMark/>
          </w:tcPr>
          <w:p w:rsidR="00AA101D" w:rsidRPr="00227C94" w:rsidRDefault="00AA101D" w:rsidP="006A371A">
            <w:pPr>
              <w:pStyle w:val="tblNumber01"/>
              <w:rPr>
                <w:b/>
              </w:rPr>
            </w:pPr>
            <w:r w:rsidRPr="00227C94">
              <w:rPr>
                <w:b/>
              </w:rPr>
              <w:t>561,514</w:t>
            </w:r>
          </w:p>
        </w:tc>
        <w:tc>
          <w:tcPr>
            <w:tcW w:w="113" w:type="dxa"/>
            <w:vAlign w:val="bottom"/>
          </w:tcPr>
          <w:p w:rsidR="00AA101D" w:rsidRPr="00227C94" w:rsidRDefault="00AA101D" w:rsidP="006A371A">
            <w:pPr>
              <w:pStyle w:val="tblNumber01"/>
            </w:pPr>
          </w:p>
        </w:tc>
        <w:tc>
          <w:tcPr>
            <w:tcW w:w="1417" w:type="dxa"/>
            <w:tcBorders>
              <w:top w:val="single" w:sz="4" w:space="0" w:color="auto"/>
            </w:tcBorders>
            <w:vAlign w:val="bottom"/>
            <w:hideMark/>
          </w:tcPr>
          <w:p w:rsidR="00AA101D" w:rsidRPr="00227C94" w:rsidRDefault="00AA101D" w:rsidP="006A371A">
            <w:pPr>
              <w:pStyle w:val="tblNumber01"/>
              <w:rPr>
                <w:b/>
              </w:rPr>
            </w:pPr>
            <w:r w:rsidRPr="00227C94">
              <w:rPr>
                <w:b/>
              </w:rPr>
              <w:t>449,208</w:t>
            </w:r>
          </w:p>
        </w:tc>
        <w:tc>
          <w:tcPr>
            <w:tcW w:w="113" w:type="dxa"/>
            <w:vAlign w:val="bottom"/>
          </w:tcPr>
          <w:p w:rsidR="00AA101D" w:rsidRPr="00227C94" w:rsidRDefault="00AA101D" w:rsidP="006A371A">
            <w:pPr>
              <w:pStyle w:val="tblNumber01"/>
            </w:pPr>
          </w:p>
        </w:tc>
        <w:tc>
          <w:tcPr>
            <w:tcW w:w="1417" w:type="dxa"/>
            <w:tcBorders>
              <w:top w:val="single" w:sz="4" w:space="0" w:color="auto"/>
            </w:tcBorders>
            <w:vAlign w:val="bottom"/>
            <w:hideMark/>
          </w:tcPr>
          <w:p w:rsidR="00AA101D" w:rsidRPr="00227C94" w:rsidRDefault="00AA101D" w:rsidP="006A371A">
            <w:pPr>
              <w:pStyle w:val="tblNumber01"/>
            </w:pPr>
            <w:r w:rsidRPr="00227C94">
              <w:t>25</w:t>
            </w:r>
          </w:p>
        </w:tc>
        <w:tc>
          <w:tcPr>
            <w:tcW w:w="113" w:type="dxa"/>
            <w:vAlign w:val="bottom"/>
          </w:tcPr>
          <w:p w:rsidR="00AA101D" w:rsidRPr="00227C94" w:rsidRDefault="00AA101D" w:rsidP="006A371A">
            <w:pPr>
              <w:pStyle w:val="tblNumber01"/>
            </w:pPr>
          </w:p>
        </w:tc>
        <w:tc>
          <w:tcPr>
            <w:tcW w:w="1417" w:type="dxa"/>
            <w:tcBorders>
              <w:top w:val="single" w:sz="4" w:space="0" w:color="auto"/>
            </w:tcBorders>
            <w:vAlign w:val="bottom"/>
            <w:hideMark/>
          </w:tcPr>
          <w:p w:rsidR="00AA101D" w:rsidRPr="00227C94" w:rsidRDefault="00AA101D" w:rsidP="006A371A">
            <w:pPr>
              <w:pStyle w:val="tblNumber01"/>
              <w:rPr>
                <w:b/>
              </w:rPr>
            </w:pPr>
            <w:r w:rsidRPr="00227C94">
              <w:rPr>
                <w:b/>
              </w:rPr>
              <w:t>1,036,275</w:t>
            </w:r>
          </w:p>
        </w:tc>
      </w:tr>
      <w:tr w:rsidR="00821069" w:rsidRPr="00227C94" w:rsidTr="00007AA3">
        <w:trPr>
          <w:cantSplit/>
        </w:trPr>
        <w:tc>
          <w:tcPr>
            <w:tcW w:w="2928" w:type="dxa"/>
            <w:vAlign w:val="center"/>
            <w:hideMark/>
          </w:tcPr>
          <w:p w:rsidR="00821069" w:rsidRPr="00227C94" w:rsidRDefault="00821069" w:rsidP="00821069">
            <w:pPr>
              <w:pStyle w:val="tblText02"/>
              <w:rPr>
                <w:lang w:val="en-US"/>
              </w:rPr>
            </w:pPr>
            <w:r w:rsidRPr="00227C94">
              <w:rPr>
                <w:lang w:val="en-US"/>
              </w:rPr>
              <w:t>Amortisation and depreciation of operating assets</w:t>
            </w:r>
          </w:p>
        </w:tc>
        <w:tc>
          <w:tcPr>
            <w:tcW w:w="1417" w:type="dxa"/>
            <w:vAlign w:val="bottom"/>
            <w:hideMark/>
          </w:tcPr>
          <w:p w:rsidR="00821069" w:rsidRPr="00227C94" w:rsidRDefault="00821069" w:rsidP="00821069">
            <w:pPr>
              <w:pStyle w:val="tblNumber01"/>
            </w:pPr>
            <w:r w:rsidRPr="00227C94">
              <w:t>84,137</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89,847</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0"/>
            </w:pPr>
            <w:r w:rsidRPr="00227C94">
              <w:t>(6)</w:t>
            </w:r>
          </w:p>
        </w:tc>
        <w:tc>
          <w:tcPr>
            <w:tcW w:w="113" w:type="dxa"/>
            <w:vAlign w:val="bottom"/>
          </w:tcPr>
          <w:p w:rsidR="00821069" w:rsidRPr="00227C94" w:rsidRDefault="00821069" w:rsidP="00821069">
            <w:pPr>
              <w:pStyle w:val="tblNumber01"/>
            </w:pPr>
          </w:p>
        </w:tc>
        <w:tc>
          <w:tcPr>
            <w:tcW w:w="1417" w:type="dxa"/>
            <w:vAlign w:val="bottom"/>
            <w:hideMark/>
          </w:tcPr>
          <w:p w:rsidR="00821069" w:rsidRPr="00227C94" w:rsidRDefault="00821069" w:rsidP="00821069">
            <w:pPr>
              <w:pStyle w:val="tblNumber01"/>
            </w:pPr>
            <w:r w:rsidRPr="00227C94">
              <w:t>181,935</w:t>
            </w:r>
          </w:p>
        </w:tc>
      </w:tr>
      <w:tr w:rsidR="00821069" w:rsidRPr="00227C94" w:rsidTr="00007AA3">
        <w:trPr>
          <w:cantSplit/>
        </w:trPr>
        <w:tc>
          <w:tcPr>
            <w:tcW w:w="2928" w:type="dxa"/>
            <w:vAlign w:val="center"/>
            <w:hideMark/>
          </w:tcPr>
          <w:p w:rsidR="00821069" w:rsidRPr="00227C94" w:rsidRDefault="00821069" w:rsidP="00821069">
            <w:pPr>
              <w:pStyle w:val="tblText02"/>
              <w:rPr>
                <w:lang w:val="en-US"/>
              </w:rPr>
            </w:pPr>
            <w:r w:rsidRPr="00227C94">
              <w:rPr>
                <w:lang w:val="en-US"/>
              </w:rPr>
              <w:t>Deferred stripping costs (capitalised)/ expensed</w:t>
            </w:r>
          </w:p>
        </w:tc>
        <w:tc>
          <w:tcPr>
            <w:tcW w:w="1417" w:type="dxa"/>
            <w:tcBorders>
              <w:bottom w:val="single" w:sz="4" w:space="0" w:color="auto"/>
            </w:tcBorders>
            <w:vAlign w:val="bottom"/>
            <w:hideMark/>
          </w:tcPr>
          <w:p w:rsidR="00821069" w:rsidRPr="00227C94" w:rsidRDefault="00821069" w:rsidP="00821069">
            <w:pPr>
              <w:pStyle w:val="tblNumber00"/>
            </w:pPr>
            <w:r w:rsidRPr="00227C94">
              <w:t>(2,343)</w:t>
            </w:r>
          </w:p>
        </w:tc>
        <w:tc>
          <w:tcPr>
            <w:tcW w:w="113" w:type="dxa"/>
            <w:vAlign w:val="bottom"/>
          </w:tcPr>
          <w:p w:rsidR="00821069" w:rsidRPr="00227C94" w:rsidRDefault="00821069" w:rsidP="00821069">
            <w:pPr>
              <w:pStyle w:val="tblNumber01"/>
            </w:pPr>
          </w:p>
        </w:tc>
        <w:tc>
          <w:tcPr>
            <w:tcW w:w="1417" w:type="dxa"/>
            <w:tcBorders>
              <w:bottom w:val="single" w:sz="4" w:space="0" w:color="auto"/>
            </w:tcBorders>
            <w:vAlign w:val="bottom"/>
            <w:hideMark/>
          </w:tcPr>
          <w:p w:rsidR="00821069" w:rsidRPr="00227C94" w:rsidRDefault="00821069" w:rsidP="00821069">
            <w:pPr>
              <w:pStyle w:val="tblNumber01"/>
            </w:pPr>
            <w:r w:rsidRPr="00227C94">
              <w:t>17,136</w:t>
            </w:r>
          </w:p>
        </w:tc>
        <w:tc>
          <w:tcPr>
            <w:tcW w:w="113" w:type="dxa"/>
            <w:vAlign w:val="bottom"/>
          </w:tcPr>
          <w:p w:rsidR="00821069" w:rsidRPr="00227C94" w:rsidRDefault="00821069" w:rsidP="00821069">
            <w:pPr>
              <w:pStyle w:val="tblNumber01"/>
            </w:pPr>
          </w:p>
        </w:tc>
        <w:tc>
          <w:tcPr>
            <w:tcW w:w="1417" w:type="dxa"/>
            <w:tcBorders>
              <w:bottom w:val="single" w:sz="4" w:space="0" w:color="auto"/>
            </w:tcBorders>
            <w:vAlign w:val="bottom"/>
            <w:hideMark/>
          </w:tcPr>
          <w:p w:rsidR="00821069" w:rsidRPr="00227C94" w:rsidRDefault="00821069" w:rsidP="00821069">
            <w:pPr>
              <w:pStyle w:val="tblNumber00"/>
            </w:pPr>
            <w:r w:rsidRPr="00227C94">
              <w:t>(114)</w:t>
            </w:r>
          </w:p>
        </w:tc>
        <w:tc>
          <w:tcPr>
            <w:tcW w:w="113" w:type="dxa"/>
            <w:vAlign w:val="bottom"/>
          </w:tcPr>
          <w:p w:rsidR="00821069" w:rsidRPr="00227C94" w:rsidRDefault="00821069" w:rsidP="00821069">
            <w:pPr>
              <w:pStyle w:val="tblNumber01"/>
            </w:pPr>
          </w:p>
        </w:tc>
        <w:tc>
          <w:tcPr>
            <w:tcW w:w="1417" w:type="dxa"/>
            <w:tcBorders>
              <w:bottom w:val="single" w:sz="4" w:space="0" w:color="auto"/>
            </w:tcBorders>
            <w:vAlign w:val="bottom"/>
            <w:hideMark/>
          </w:tcPr>
          <w:p w:rsidR="00821069" w:rsidRPr="00227C94" w:rsidRDefault="00821069" w:rsidP="00821069">
            <w:pPr>
              <w:pStyle w:val="tblNumber00"/>
            </w:pPr>
            <w:r w:rsidRPr="00227C94">
              <w:t>(7,335)</w:t>
            </w:r>
          </w:p>
        </w:tc>
      </w:tr>
      <w:tr w:rsidR="00D2556E" w:rsidRPr="00227C94" w:rsidTr="00007AA3">
        <w:trPr>
          <w:cantSplit/>
        </w:trPr>
        <w:tc>
          <w:tcPr>
            <w:tcW w:w="2928" w:type="dxa"/>
            <w:vAlign w:val="center"/>
          </w:tcPr>
          <w:p w:rsidR="00D2556E" w:rsidRPr="00227C94" w:rsidRDefault="00D2556E" w:rsidP="00821069">
            <w:pPr>
              <w:pStyle w:val="tblText02"/>
              <w:rPr>
                <w:b/>
                <w:lang w:val="en-US"/>
              </w:rPr>
            </w:pPr>
            <w:r w:rsidRPr="00227C94">
              <w:rPr>
                <w:b/>
                <w:lang w:val="en-US"/>
              </w:rPr>
              <w:t>Total cost of production</w:t>
            </w:r>
          </w:p>
        </w:tc>
        <w:tc>
          <w:tcPr>
            <w:tcW w:w="1417" w:type="dxa"/>
            <w:tcBorders>
              <w:top w:val="single" w:sz="4" w:space="0" w:color="auto"/>
            </w:tcBorders>
            <w:vAlign w:val="bottom"/>
          </w:tcPr>
          <w:p w:rsidR="00D2556E" w:rsidRPr="00227C94" w:rsidRDefault="00D2556E" w:rsidP="00821069">
            <w:pPr>
              <w:pStyle w:val="tblNumber00"/>
              <w:rPr>
                <w:b/>
                <w:lang w:val="en-GB"/>
              </w:rPr>
            </w:pPr>
            <w:r w:rsidRPr="00227C94">
              <w:rPr>
                <w:b/>
                <w:lang w:val="en-GB"/>
              </w:rPr>
              <w:t>643,308</w:t>
            </w:r>
          </w:p>
        </w:tc>
        <w:tc>
          <w:tcPr>
            <w:tcW w:w="113" w:type="dxa"/>
            <w:vAlign w:val="bottom"/>
          </w:tcPr>
          <w:p w:rsidR="00D2556E" w:rsidRPr="00227C94" w:rsidRDefault="00D2556E" w:rsidP="00D2556E">
            <w:pPr>
              <w:pStyle w:val="tblNumber01"/>
              <w:jc w:val="left"/>
              <w:rPr>
                <w:b/>
                <w:lang w:val="en-GB"/>
              </w:rPr>
            </w:pPr>
          </w:p>
        </w:tc>
        <w:tc>
          <w:tcPr>
            <w:tcW w:w="1417" w:type="dxa"/>
            <w:tcBorders>
              <w:top w:val="single" w:sz="4" w:space="0" w:color="auto"/>
            </w:tcBorders>
            <w:vAlign w:val="bottom"/>
          </w:tcPr>
          <w:p w:rsidR="00D2556E" w:rsidRPr="00227C94" w:rsidRDefault="00D2556E" w:rsidP="00821069">
            <w:pPr>
              <w:pStyle w:val="tblNumber00"/>
              <w:rPr>
                <w:b/>
                <w:lang w:val="en-GB"/>
              </w:rPr>
            </w:pPr>
            <w:r w:rsidRPr="00227C94">
              <w:rPr>
                <w:b/>
                <w:lang w:val="en-GB"/>
              </w:rPr>
              <w:t>556,191</w:t>
            </w:r>
          </w:p>
        </w:tc>
        <w:tc>
          <w:tcPr>
            <w:tcW w:w="113" w:type="dxa"/>
            <w:vAlign w:val="bottom"/>
          </w:tcPr>
          <w:p w:rsidR="00D2556E" w:rsidRPr="00227C94" w:rsidRDefault="00D2556E" w:rsidP="00821069">
            <w:pPr>
              <w:pStyle w:val="tblNumber01"/>
              <w:rPr>
                <w:b/>
                <w:lang w:val="en-GB"/>
              </w:rPr>
            </w:pPr>
          </w:p>
        </w:tc>
        <w:tc>
          <w:tcPr>
            <w:tcW w:w="1417" w:type="dxa"/>
            <w:tcBorders>
              <w:top w:val="single" w:sz="4" w:space="0" w:color="auto"/>
            </w:tcBorders>
            <w:vAlign w:val="bottom"/>
          </w:tcPr>
          <w:p w:rsidR="00D2556E" w:rsidRPr="00227C94" w:rsidRDefault="00D2556E" w:rsidP="00821069">
            <w:pPr>
              <w:pStyle w:val="tblNumber00"/>
              <w:rPr>
                <w:b/>
                <w:lang w:val="en-GB"/>
              </w:rPr>
            </w:pPr>
            <w:r w:rsidRPr="00227C94">
              <w:rPr>
                <w:b/>
                <w:lang w:val="en-GB"/>
              </w:rPr>
              <w:t>16</w:t>
            </w:r>
          </w:p>
        </w:tc>
        <w:tc>
          <w:tcPr>
            <w:tcW w:w="113" w:type="dxa"/>
            <w:vAlign w:val="bottom"/>
          </w:tcPr>
          <w:p w:rsidR="00D2556E" w:rsidRPr="00227C94" w:rsidRDefault="00D2556E" w:rsidP="00821069">
            <w:pPr>
              <w:pStyle w:val="tblNumber01"/>
              <w:rPr>
                <w:b/>
              </w:rPr>
            </w:pPr>
          </w:p>
        </w:tc>
        <w:tc>
          <w:tcPr>
            <w:tcW w:w="1417" w:type="dxa"/>
            <w:tcBorders>
              <w:top w:val="single" w:sz="4" w:space="0" w:color="auto"/>
            </w:tcBorders>
            <w:vAlign w:val="bottom"/>
          </w:tcPr>
          <w:p w:rsidR="00D2556E" w:rsidRPr="00227C94" w:rsidRDefault="00D2556E" w:rsidP="00821069">
            <w:pPr>
              <w:pStyle w:val="tblNumber00"/>
              <w:rPr>
                <w:b/>
                <w:lang w:val="en-GB"/>
              </w:rPr>
            </w:pPr>
            <w:r w:rsidRPr="00227C94">
              <w:rPr>
                <w:b/>
                <w:lang w:val="en-GB"/>
              </w:rPr>
              <w:t>1,210.875</w:t>
            </w:r>
          </w:p>
        </w:tc>
      </w:tr>
      <w:tr w:rsidR="00821069" w:rsidRPr="00227C94" w:rsidTr="00007AA3">
        <w:trPr>
          <w:cantSplit/>
        </w:trPr>
        <w:tc>
          <w:tcPr>
            <w:tcW w:w="2928" w:type="dxa"/>
            <w:vAlign w:val="center"/>
            <w:hideMark/>
          </w:tcPr>
          <w:p w:rsidR="00821069" w:rsidRPr="00227C94" w:rsidRDefault="00821069" w:rsidP="00821069">
            <w:pPr>
              <w:pStyle w:val="tblText02"/>
              <w:rPr>
                <w:lang w:val="en-US"/>
              </w:rPr>
            </w:pPr>
            <w:r w:rsidRPr="00227C94">
              <w:rPr>
                <w:lang w:val="en-US"/>
              </w:rPr>
              <w:t>Increase in gold-in-process and refined gold</w:t>
            </w:r>
          </w:p>
        </w:tc>
        <w:tc>
          <w:tcPr>
            <w:tcW w:w="1417" w:type="dxa"/>
            <w:tcBorders>
              <w:bottom w:val="single" w:sz="4" w:space="0" w:color="auto"/>
            </w:tcBorders>
            <w:vAlign w:val="bottom"/>
            <w:hideMark/>
          </w:tcPr>
          <w:p w:rsidR="00821069" w:rsidRPr="00227C94" w:rsidRDefault="00821069" w:rsidP="00821069">
            <w:pPr>
              <w:pStyle w:val="tblNumber00"/>
            </w:pPr>
            <w:r w:rsidRPr="00227C94">
              <w:t>(74,278)</w:t>
            </w:r>
          </w:p>
        </w:tc>
        <w:tc>
          <w:tcPr>
            <w:tcW w:w="113" w:type="dxa"/>
            <w:vAlign w:val="bottom"/>
          </w:tcPr>
          <w:p w:rsidR="00821069" w:rsidRPr="00227C94" w:rsidRDefault="00821069" w:rsidP="00821069">
            <w:pPr>
              <w:pStyle w:val="tblNumber01"/>
            </w:pPr>
          </w:p>
        </w:tc>
        <w:tc>
          <w:tcPr>
            <w:tcW w:w="1417" w:type="dxa"/>
            <w:tcBorders>
              <w:bottom w:val="single" w:sz="4" w:space="0" w:color="auto"/>
            </w:tcBorders>
            <w:vAlign w:val="bottom"/>
            <w:hideMark/>
          </w:tcPr>
          <w:p w:rsidR="00821069" w:rsidRPr="00227C94" w:rsidRDefault="00821069" w:rsidP="00821069">
            <w:pPr>
              <w:pStyle w:val="tblNumber00"/>
            </w:pPr>
            <w:r w:rsidRPr="00227C94">
              <w:t>(78,138)</w:t>
            </w:r>
          </w:p>
        </w:tc>
        <w:tc>
          <w:tcPr>
            <w:tcW w:w="113" w:type="dxa"/>
            <w:vAlign w:val="bottom"/>
          </w:tcPr>
          <w:p w:rsidR="00821069" w:rsidRPr="00227C94" w:rsidRDefault="00821069" w:rsidP="00821069">
            <w:pPr>
              <w:pStyle w:val="tblNumber01"/>
            </w:pPr>
          </w:p>
        </w:tc>
        <w:tc>
          <w:tcPr>
            <w:tcW w:w="1417" w:type="dxa"/>
            <w:tcBorders>
              <w:bottom w:val="single" w:sz="4" w:space="0" w:color="auto"/>
            </w:tcBorders>
            <w:vAlign w:val="bottom"/>
            <w:hideMark/>
          </w:tcPr>
          <w:p w:rsidR="00821069" w:rsidRPr="00227C94" w:rsidRDefault="00821069" w:rsidP="00821069">
            <w:pPr>
              <w:pStyle w:val="tblNumber00"/>
            </w:pPr>
            <w:r w:rsidRPr="00227C94">
              <w:t>(5)</w:t>
            </w:r>
          </w:p>
        </w:tc>
        <w:tc>
          <w:tcPr>
            <w:tcW w:w="113" w:type="dxa"/>
            <w:vAlign w:val="bottom"/>
          </w:tcPr>
          <w:p w:rsidR="00821069" w:rsidRPr="00227C94" w:rsidRDefault="00821069" w:rsidP="00821069">
            <w:pPr>
              <w:pStyle w:val="tblNumber01"/>
            </w:pPr>
          </w:p>
        </w:tc>
        <w:tc>
          <w:tcPr>
            <w:tcW w:w="1417" w:type="dxa"/>
            <w:tcBorders>
              <w:bottom w:val="single" w:sz="4" w:space="0" w:color="auto"/>
            </w:tcBorders>
            <w:vAlign w:val="bottom"/>
            <w:hideMark/>
          </w:tcPr>
          <w:p w:rsidR="00821069" w:rsidRPr="00227C94" w:rsidRDefault="00821069" w:rsidP="00821069">
            <w:pPr>
              <w:pStyle w:val="tblNumber00"/>
            </w:pPr>
            <w:r w:rsidRPr="00227C94">
              <w:t>(48,856)</w:t>
            </w:r>
          </w:p>
        </w:tc>
      </w:tr>
      <w:tr w:rsidR="006830F1" w:rsidRPr="00227C94" w:rsidTr="006830F1">
        <w:trPr>
          <w:cantSplit/>
        </w:trPr>
        <w:tc>
          <w:tcPr>
            <w:tcW w:w="2928" w:type="dxa"/>
            <w:vAlign w:val="center"/>
          </w:tcPr>
          <w:p w:rsidR="006830F1" w:rsidRPr="00227C94" w:rsidRDefault="006830F1" w:rsidP="00821069">
            <w:pPr>
              <w:pStyle w:val="tblText02"/>
              <w:rPr>
                <w:b/>
              </w:rPr>
            </w:pPr>
          </w:p>
        </w:tc>
        <w:tc>
          <w:tcPr>
            <w:tcW w:w="1417" w:type="dxa"/>
            <w:tcBorders>
              <w:top w:val="single" w:sz="4" w:space="0" w:color="auto"/>
            </w:tcBorders>
            <w:vAlign w:val="bottom"/>
          </w:tcPr>
          <w:p w:rsidR="006830F1" w:rsidRPr="00227C94" w:rsidRDefault="006830F1" w:rsidP="00821069">
            <w:pPr>
              <w:pStyle w:val="tblNumber01"/>
              <w:rPr>
                <w:b/>
              </w:rPr>
            </w:pPr>
          </w:p>
        </w:tc>
        <w:tc>
          <w:tcPr>
            <w:tcW w:w="113" w:type="dxa"/>
            <w:vAlign w:val="bottom"/>
          </w:tcPr>
          <w:p w:rsidR="006830F1" w:rsidRPr="00227C94" w:rsidRDefault="006830F1" w:rsidP="00821069">
            <w:pPr>
              <w:pStyle w:val="tblNumber01"/>
            </w:pPr>
          </w:p>
        </w:tc>
        <w:tc>
          <w:tcPr>
            <w:tcW w:w="1417" w:type="dxa"/>
            <w:tcBorders>
              <w:top w:val="single" w:sz="4" w:space="0" w:color="auto"/>
            </w:tcBorders>
            <w:vAlign w:val="bottom"/>
          </w:tcPr>
          <w:p w:rsidR="006830F1" w:rsidRPr="00227C94" w:rsidRDefault="006830F1" w:rsidP="00821069">
            <w:pPr>
              <w:pStyle w:val="tblNumber01"/>
              <w:rPr>
                <w:b/>
              </w:rPr>
            </w:pPr>
          </w:p>
        </w:tc>
        <w:tc>
          <w:tcPr>
            <w:tcW w:w="113" w:type="dxa"/>
            <w:vAlign w:val="bottom"/>
          </w:tcPr>
          <w:p w:rsidR="006830F1" w:rsidRPr="00227C94" w:rsidRDefault="006830F1" w:rsidP="00821069">
            <w:pPr>
              <w:pStyle w:val="tblNumber01"/>
            </w:pPr>
          </w:p>
        </w:tc>
        <w:tc>
          <w:tcPr>
            <w:tcW w:w="1417" w:type="dxa"/>
            <w:tcBorders>
              <w:top w:val="single" w:sz="4" w:space="0" w:color="auto"/>
            </w:tcBorders>
            <w:vAlign w:val="bottom"/>
          </w:tcPr>
          <w:p w:rsidR="006830F1" w:rsidRPr="00227C94" w:rsidRDefault="006830F1" w:rsidP="00821069">
            <w:pPr>
              <w:pStyle w:val="tblNumber01"/>
            </w:pPr>
          </w:p>
        </w:tc>
        <w:tc>
          <w:tcPr>
            <w:tcW w:w="113" w:type="dxa"/>
            <w:vAlign w:val="bottom"/>
          </w:tcPr>
          <w:p w:rsidR="006830F1" w:rsidRPr="00227C94" w:rsidRDefault="006830F1" w:rsidP="00821069">
            <w:pPr>
              <w:pStyle w:val="tblNumber01"/>
            </w:pPr>
          </w:p>
        </w:tc>
        <w:tc>
          <w:tcPr>
            <w:tcW w:w="1417" w:type="dxa"/>
            <w:tcBorders>
              <w:top w:val="single" w:sz="4" w:space="0" w:color="auto"/>
            </w:tcBorders>
            <w:vAlign w:val="bottom"/>
          </w:tcPr>
          <w:p w:rsidR="006830F1" w:rsidRPr="00227C94" w:rsidRDefault="006830F1" w:rsidP="00821069">
            <w:pPr>
              <w:pStyle w:val="tblNumber01"/>
              <w:rPr>
                <w:b/>
              </w:rPr>
            </w:pPr>
          </w:p>
        </w:tc>
      </w:tr>
      <w:tr w:rsidR="00821069" w:rsidRPr="00227C94" w:rsidTr="006830F1">
        <w:trPr>
          <w:cantSplit/>
        </w:trPr>
        <w:tc>
          <w:tcPr>
            <w:tcW w:w="2928" w:type="dxa"/>
            <w:vAlign w:val="center"/>
            <w:hideMark/>
          </w:tcPr>
          <w:p w:rsidR="00821069" w:rsidRPr="00227C94" w:rsidRDefault="00821069" w:rsidP="00821069">
            <w:pPr>
              <w:pStyle w:val="tblText02"/>
              <w:rPr>
                <w:b/>
              </w:rPr>
            </w:pPr>
            <w:r w:rsidRPr="00227C94">
              <w:rPr>
                <w:b/>
              </w:rPr>
              <w:t>Cost of gold sales</w:t>
            </w:r>
          </w:p>
        </w:tc>
        <w:tc>
          <w:tcPr>
            <w:tcW w:w="1417" w:type="dxa"/>
            <w:tcBorders>
              <w:bottom w:val="double" w:sz="4" w:space="0" w:color="auto"/>
            </w:tcBorders>
            <w:vAlign w:val="bottom"/>
            <w:hideMark/>
          </w:tcPr>
          <w:p w:rsidR="00821069" w:rsidRPr="00227C94" w:rsidRDefault="00821069" w:rsidP="00821069">
            <w:pPr>
              <w:pStyle w:val="tblNumber01"/>
              <w:rPr>
                <w:b/>
              </w:rPr>
            </w:pPr>
            <w:r w:rsidRPr="00227C94">
              <w:rPr>
                <w:b/>
              </w:rPr>
              <w:t>569,030</w:t>
            </w:r>
          </w:p>
        </w:tc>
        <w:tc>
          <w:tcPr>
            <w:tcW w:w="113" w:type="dxa"/>
            <w:vAlign w:val="bottom"/>
          </w:tcPr>
          <w:p w:rsidR="00821069" w:rsidRPr="00227C94" w:rsidRDefault="00821069" w:rsidP="00821069">
            <w:pPr>
              <w:pStyle w:val="tblNumber01"/>
            </w:pPr>
          </w:p>
        </w:tc>
        <w:tc>
          <w:tcPr>
            <w:tcW w:w="1417" w:type="dxa"/>
            <w:tcBorders>
              <w:bottom w:val="double" w:sz="4" w:space="0" w:color="auto"/>
            </w:tcBorders>
            <w:vAlign w:val="bottom"/>
            <w:hideMark/>
          </w:tcPr>
          <w:p w:rsidR="00821069" w:rsidRPr="00227C94" w:rsidRDefault="00821069" w:rsidP="00821069">
            <w:pPr>
              <w:pStyle w:val="tblNumber01"/>
              <w:rPr>
                <w:b/>
              </w:rPr>
            </w:pPr>
            <w:r w:rsidRPr="00227C94">
              <w:rPr>
                <w:b/>
              </w:rPr>
              <w:t>478,053</w:t>
            </w:r>
          </w:p>
        </w:tc>
        <w:tc>
          <w:tcPr>
            <w:tcW w:w="113" w:type="dxa"/>
            <w:vAlign w:val="bottom"/>
          </w:tcPr>
          <w:p w:rsidR="00821069" w:rsidRPr="00227C94" w:rsidRDefault="00821069" w:rsidP="00821069">
            <w:pPr>
              <w:pStyle w:val="tblNumber01"/>
            </w:pPr>
          </w:p>
        </w:tc>
        <w:tc>
          <w:tcPr>
            <w:tcW w:w="1417" w:type="dxa"/>
            <w:tcBorders>
              <w:bottom w:val="double" w:sz="4" w:space="0" w:color="auto"/>
            </w:tcBorders>
            <w:vAlign w:val="bottom"/>
            <w:hideMark/>
          </w:tcPr>
          <w:p w:rsidR="00821069" w:rsidRPr="00227C94" w:rsidRDefault="00821069" w:rsidP="00821069">
            <w:pPr>
              <w:pStyle w:val="tblNumber01"/>
            </w:pPr>
            <w:r w:rsidRPr="00227C94">
              <w:t>19</w:t>
            </w:r>
          </w:p>
        </w:tc>
        <w:tc>
          <w:tcPr>
            <w:tcW w:w="113" w:type="dxa"/>
            <w:vAlign w:val="bottom"/>
          </w:tcPr>
          <w:p w:rsidR="00821069" w:rsidRPr="00227C94" w:rsidRDefault="00821069" w:rsidP="00821069">
            <w:pPr>
              <w:pStyle w:val="tblNumber01"/>
            </w:pPr>
          </w:p>
        </w:tc>
        <w:tc>
          <w:tcPr>
            <w:tcW w:w="1417" w:type="dxa"/>
            <w:tcBorders>
              <w:bottom w:val="double" w:sz="4" w:space="0" w:color="auto"/>
            </w:tcBorders>
            <w:vAlign w:val="bottom"/>
            <w:hideMark/>
          </w:tcPr>
          <w:p w:rsidR="00821069" w:rsidRPr="00227C94" w:rsidRDefault="00821069" w:rsidP="00821069">
            <w:pPr>
              <w:pStyle w:val="tblNumber01"/>
              <w:rPr>
                <w:b/>
              </w:rPr>
            </w:pPr>
            <w:r w:rsidRPr="00227C94">
              <w:rPr>
                <w:b/>
              </w:rPr>
              <w:t>1,162,019</w:t>
            </w:r>
          </w:p>
        </w:tc>
      </w:tr>
    </w:tbl>
    <w:p w:rsidR="006A371A" w:rsidRPr="00227C94" w:rsidRDefault="007568F1" w:rsidP="006A371A">
      <w:pPr>
        <w:pStyle w:val="23"/>
        <w:pageBreakBefore/>
        <w:rPr>
          <w:rFonts w:cs="Arial"/>
          <w:color w:val="auto"/>
          <w:szCs w:val="20"/>
          <w:lang w:val="en-US"/>
        </w:rPr>
      </w:pPr>
      <w:bookmarkStart w:id="112" w:name="_DV_M128"/>
      <w:bookmarkEnd w:id="111"/>
      <w:bookmarkEnd w:id="112"/>
      <w:r w:rsidRPr="00227C94">
        <w:rPr>
          <w:rFonts w:cs="Arial"/>
          <w:color w:val="auto"/>
          <w:szCs w:val="20"/>
          <w:lang w:val="en-US"/>
        </w:rPr>
        <w:lastRenderedPageBreak/>
        <w:t>The c</w:t>
      </w:r>
      <w:r w:rsidR="006A371A" w:rsidRPr="00227C94">
        <w:rPr>
          <w:rFonts w:cs="Arial"/>
          <w:color w:val="auto"/>
          <w:szCs w:val="20"/>
          <w:lang w:val="en-US"/>
        </w:rPr>
        <w:t>ost of gold sales increased from USD478</w:t>
      </w:r>
      <w:proofErr w:type="gramStart"/>
      <w:r w:rsidR="006A371A" w:rsidRPr="00227C94">
        <w:rPr>
          <w:rFonts w:cs="Arial"/>
          <w:color w:val="auto"/>
          <w:szCs w:val="20"/>
          <w:lang w:val="en-US"/>
        </w:rPr>
        <w:t>,053</w:t>
      </w:r>
      <w:proofErr w:type="gramEnd"/>
      <w:r w:rsidR="006A371A" w:rsidRPr="00227C94">
        <w:rPr>
          <w:rFonts w:cs="Arial"/>
          <w:color w:val="auto"/>
          <w:szCs w:val="20"/>
          <w:lang w:val="en-US"/>
        </w:rPr>
        <w:t xml:space="preserve"> thousand in the first half of 2011 to USD569,030 thousand in the first half of 2012. This 19% increase resulted mainly from an 18% increase in the volume of gold sales, the growth in consumption of materials and spares, higher labour costs, an increase of mining tax charges in line with the gold price dynamics and </w:t>
      </w:r>
      <w:bookmarkStart w:id="113" w:name="_DV_M130"/>
      <w:bookmarkEnd w:id="113"/>
      <w:r w:rsidR="006A371A" w:rsidRPr="00227C94">
        <w:rPr>
          <w:rFonts w:cs="Arial"/>
          <w:color w:val="auto"/>
          <w:szCs w:val="20"/>
          <w:lang w:val="en-US"/>
        </w:rPr>
        <w:t>growth in sundry costs.</w:t>
      </w:r>
    </w:p>
    <w:p w:rsidR="006A371A" w:rsidRPr="00227C94" w:rsidRDefault="006A371A" w:rsidP="006A371A">
      <w:pPr>
        <w:pStyle w:val="23"/>
        <w:spacing w:line="180" w:lineRule="exact"/>
        <w:rPr>
          <w:rFonts w:cs="Arial"/>
          <w:color w:val="auto"/>
          <w:sz w:val="18"/>
          <w:szCs w:val="18"/>
          <w:lang w:val="en-US"/>
        </w:rPr>
      </w:pPr>
    </w:p>
    <w:p w:rsidR="006A371A" w:rsidRPr="00227C94" w:rsidRDefault="006A371A" w:rsidP="006A371A">
      <w:pPr>
        <w:pStyle w:val="41"/>
      </w:pPr>
      <w:bookmarkStart w:id="114" w:name="_DV_M131"/>
      <w:bookmarkStart w:id="115" w:name="_DV_M135"/>
      <w:bookmarkEnd w:id="114"/>
      <w:bookmarkEnd w:id="115"/>
      <w:r w:rsidRPr="00227C94">
        <w:t>Fuel, consumables and spares</w:t>
      </w:r>
    </w:p>
    <w:p w:rsidR="006A371A" w:rsidRPr="00227C94" w:rsidRDefault="006A371A" w:rsidP="006A371A">
      <w:pPr>
        <w:pStyle w:val="23"/>
        <w:spacing w:line="180" w:lineRule="exact"/>
        <w:rPr>
          <w:color w:val="auto"/>
          <w:lang w:val="en-US"/>
        </w:rPr>
      </w:pPr>
      <w:bookmarkStart w:id="116" w:name="_DV_M136"/>
      <w:bookmarkEnd w:id="116"/>
    </w:p>
    <w:p w:rsidR="006A371A" w:rsidRPr="00227C94" w:rsidRDefault="006A371A" w:rsidP="006A371A">
      <w:pPr>
        <w:pStyle w:val="23"/>
        <w:rPr>
          <w:color w:val="auto"/>
          <w:spacing w:val="-2"/>
          <w:lang w:val="en-US"/>
        </w:rPr>
      </w:pPr>
      <w:r w:rsidRPr="00227C94">
        <w:rPr>
          <w:color w:val="auto"/>
          <w:lang w:val="en-US"/>
        </w:rPr>
        <w:t xml:space="preserve">Consumables and spares comprised 41% of cash operating costs in the first half of 2012 (43% in </w:t>
      </w:r>
      <w:r w:rsidRPr="00227C94">
        <w:rPr>
          <w:color w:val="auto"/>
          <w:lang w:val="en-US"/>
        </w:rPr>
        <w:br/>
      </w:r>
      <w:r w:rsidRPr="00227C94">
        <w:rPr>
          <w:color w:val="auto"/>
          <w:spacing w:val="-2"/>
          <w:lang w:val="en-US"/>
        </w:rPr>
        <w:t>H1 2011). These include materials and spares (spare parts for trucks, excavators and for construction machinery, expenses on rolled metal products and cables, technological materials for plants, chemicals and other materials and spare parts used during the mining, concentration and smelting) and fuel.</w:t>
      </w:r>
    </w:p>
    <w:p w:rsidR="006A371A" w:rsidRPr="00227C94" w:rsidRDefault="006A371A" w:rsidP="006A371A">
      <w:pPr>
        <w:pStyle w:val="23"/>
        <w:spacing w:line="180" w:lineRule="exact"/>
        <w:rPr>
          <w:color w:val="auto"/>
          <w:lang w:val="en-US"/>
        </w:rPr>
      </w:pPr>
    </w:p>
    <w:p w:rsidR="006A371A" w:rsidRPr="00227C94" w:rsidRDefault="006A371A" w:rsidP="006A371A">
      <w:pPr>
        <w:pStyle w:val="31"/>
        <w:rPr>
          <w:b w:val="0"/>
        </w:rPr>
      </w:pPr>
      <w:bookmarkStart w:id="117" w:name="_DV_M137"/>
      <w:bookmarkEnd w:id="117"/>
      <w:r w:rsidRPr="00227C94">
        <w:rPr>
          <w:b w:val="0"/>
        </w:rPr>
        <w:t>Materials and spares</w:t>
      </w:r>
    </w:p>
    <w:p w:rsidR="006A371A" w:rsidRPr="00227C94" w:rsidRDefault="006A371A" w:rsidP="006A371A">
      <w:pPr>
        <w:pStyle w:val="23"/>
        <w:spacing w:line="180" w:lineRule="exact"/>
        <w:rPr>
          <w:color w:val="auto"/>
          <w:lang w:val="en-US"/>
        </w:rPr>
      </w:pPr>
      <w:bookmarkStart w:id="118" w:name="_DV_M138"/>
      <w:bookmarkEnd w:id="118"/>
    </w:p>
    <w:p w:rsidR="006A371A" w:rsidRPr="00227C94" w:rsidRDefault="006A371A" w:rsidP="006A371A">
      <w:pPr>
        <w:pStyle w:val="23"/>
        <w:rPr>
          <w:color w:val="auto"/>
          <w:lang w:val="en-US"/>
        </w:rPr>
      </w:pPr>
      <w:r w:rsidRPr="00227C94">
        <w:rPr>
          <w:color w:val="auto"/>
          <w:spacing w:val="-3"/>
          <w:lang w:val="en-US"/>
        </w:rPr>
        <w:t xml:space="preserve">The cost of materials and spares consumed in the first half of 2012 amounted to USD165,260 thousand, </w:t>
      </w:r>
      <w:r w:rsidRPr="00227C94">
        <w:rPr>
          <w:color w:val="auto"/>
          <w:lang w:val="en-US"/>
        </w:rPr>
        <w:t xml:space="preserve">an increase of 18% compared with the same period in the previous year. All of the Group’s business units incurred </w:t>
      </w:r>
      <w:bookmarkStart w:id="119" w:name="_DV_C72"/>
      <w:r w:rsidRPr="00227C94">
        <w:rPr>
          <w:color w:val="auto"/>
          <w:lang w:val="en-US"/>
        </w:rPr>
        <w:t>increased expenses for the</w:t>
      </w:r>
      <w:bookmarkStart w:id="120" w:name="_DV_M139"/>
      <w:bookmarkEnd w:id="119"/>
      <w:bookmarkEnd w:id="120"/>
      <w:r w:rsidRPr="00227C94">
        <w:rPr>
          <w:color w:val="auto"/>
          <w:lang w:val="en-US"/>
        </w:rPr>
        <w:t xml:space="preserve"> purchase of grinding balls, spare parts, tyres and chemical </w:t>
      </w:r>
      <w:r w:rsidRPr="00227C94">
        <w:rPr>
          <w:color w:val="auto"/>
          <w:spacing w:val="-2"/>
          <w:lang w:val="en-US"/>
        </w:rPr>
        <w:t xml:space="preserve">products. The increase in costs for materials and spares was largely driven by the increase in purchase </w:t>
      </w:r>
      <w:r w:rsidRPr="00227C94">
        <w:rPr>
          <w:color w:val="auto"/>
          <w:lang w:val="en-US"/>
        </w:rPr>
        <w:t>price (ex: the average price for cyanides increased 28% p-o-p) and, in some cases by the growth in consumption.</w:t>
      </w:r>
    </w:p>
    <w:p w:rsidR="006A371A" w:rsidRPr="00227C94" w:rsidRDefault="006A371A" w:rsidP="00821069">
      <w:pPr>
        <w:pStyle w:val="23"/>
        <w:spacing w:line="180" w:lineRule="exact"/>
        <w:rPr>
          <w:color w:val="auto"/>
          <w:lang w:val="en-US"/>
        </w:rPr>
      </w:pPr>
    </w:p>
    <w:p w:rsidR="00916675" w:rsidRPr="00227C94" w:rsidRDefault="00916675" w:rsidP="00821069">
      <w:pPr>
        <w:pStyle w:val="20"/>
        <w:rPr>
          <w:lang w:val="en-US"/>
        </w:rPr>
      </w:pPr>
      <w:r w:rsidRPr="00227C94">
        <w:rPr>
          <w:spacing w:val="-2"/>
          <w:lang w:val="en-US"/>
        </w:rPr>
        <w:t xml:space="preserve">The Krasnoyarsk business unit: requirements for spare parts for the mining fleet increased due to </w:t>
      </w:r>
      <w:r w:rsidRPr="00227C94">
        <w:rPr>
          <w:lang w:val="en-US"/>
        </w:rPr>
        <w:t>higher volumes of ore mining (17% increase) and advanced growth in volumes of rock moved (stripping ratio increased from 2.00 m</w:t>
      </w:r>
      <w:r w:rsidRPr="00227C94">
        <w:rPr>
          <w:vertAlign w:val="superscript"/>
          <w:lang w:val="en-US"/>
        </w:rPr>
        <w:t>3</w:t>
      </w:r>
      <w:r w:rsidRPr="00227C94">
        <w:rPr>
          <w:lang w:val="en-US"/>
        </w:rPr>
        <w:t>/t to 2.17 m</w:t>
      </w:r>
      <w:r w:rsidRPr="00227C94">
        <w:rPr>
          <w:vertAlign w:val="superscript"/>
          <w:lang w:val="en-US"/>
        </w:rPr>
        <w:t>3</w:t>
      </w:r>
      <w:r w:rsidRPr="00227C94">
        <w:rPr>
          <w:lang w:val="en-US"/>
        </w:rPr>
        <w:t xml:space="preserve">/t). To maintain this level of mining the Group </w:t>
      </w:r>
      <w:r w:rsidRPr="00227C94">
        <w:rPr>
          <w:spacing w:val="-2"/>
          <w:lang w:val="en-US"/>
        </w:rPr>
        <w:t xml:space="preserve">intensified drilling and blasting operations at the Vostochnyi pit and Blagodatnyi pit, which resulted </w:t>
      </w:r>
      <w:r w:rsidRPr="00227C94">
        <w:rPr>
          <w:lang w:val="en-US"/>
        </w:rPr>
        <w:t>in a higher consumption of explosives. Consumption of reagents, cyanides and other chemicals also increased due to overall increase in volumes of ore processing (for example consumption of cyanides increased from 8.1 tonnes in H1 2011 to 8.3 tonnes in H1 2012).</w:t>
      </w:r>
    </w:p>
    <w:p w:rsidR="00916675" w:rsidRPr="00227C94" w:rsidRDefault="00916675" w:rsidP="00821069">
      <w:pPr>
        <w:pStyle w:val="20"/>
        <w:rPr>
          <w:lang w:val="en-US"/>
        </w:rPr>
      </w:pPr>
      <w:r w:rsidRPr="00227C94">
        <w:rPr>
          <w:lang w:val="en-US"/>
        </w:rPr>
        <w:t>The Irkutsk alluvial business unit: 17% increase in cost of materials and spare parts relates to the purchase price growth. The earlier commencement of preparation and mining works by the alluvial enterprises required more explosives compared to the first half of 2011 (an increase in explosives consumption of 12%).</w:t>
      </w:r>
    </w:p>
    <w:p w:rsidR="00916675" w:rsidRPr="00227C94" w:rsidRDefault="00916675" w:rsidP="00821069">
      <w:pPr>
        <w:pStyle w:val="20"/>
        <w:rPr>
          <w:lang w:val="en-US"/>
        </w:rPr>
      </w:pPr>
      <w:r w:rsidRPr="00227C94">
        <w:rPr>
          <w:spacing w:val="-2"/>
          <w:lang w:val="en-US"/>
        </w:rPr>
        <w:t xml:space="preserve">The Yakutia Kuranakh business unit: Chemicals and reagents, spare parts and explosives being </w:t>
      </w:r>
      <w:r w:rsidR="00F66D2A" w:rsidRPr="00227C94">
        <w:rPr>
          <w:spacing w:val="-2"/>
          <w:lang w:val="en-US"/>
        </w:rPr>
        <w:t xml:space="preserve">the </w:t>
      </w:r>
      <w:r w:rsidRPr="00227C94">
        <w:rPr>
          <w:lang w:val="en-US"/>
        </w:rPr>
        <w:t xml:space="preserve">three largest components of material expenses. Consumption of various chemicals, including </w:t>
      </w:r>
      <w:r w:rsidRPr="00227C94">
        <w:rPr>
          <w:spacing w:val="-5"/>
          <w:lang w:val="en-US"/>
        </w:rPr>
        <w:t>cyanides, increased due to overall increase in volumes of ore processing (11% from 1,656 thousand tonnes in H1 2011 to 1,836 thousand tonnes in H1</w:t>
      </w:r>
      <w:r w:rsidR="00F66D2A" w:rsidRPr="00227C94">
        <w:rPr>
          <w:spacing w:val="-5"/>
          <w:lang w:val="en-US"/>
        </w:rPr>
        <w:t xml:space="preserve"> </w:t>
      </w:r>
      <w:r w:rsidRPr="00227C94">
        <w:rPr>
          <w:spacing w:val="-5"/>
          <w:lang w:val="en-US"/>
        </w:rPr>
        <w:t xml:space="preserve">2012). Cost for key production materials and </w:t>
      </w:r>
      <w:r w:rsidRPr="00227C94">
        <w:rPr>
          <w:spacing w:val="-2"/>
          <w:lang w:val="en-US"/>
        </w:rPr>
        <w:t xml:space="preserve">spare parts for repair and maintenance works also increased due to the price growth. Explosives </w:t>
      </w:r>
      <w:r w:rsidRPr="00227C94">
        <w:rPr>
          <w:lang w:val="en-US"/>
        </w:rPr>
        <w:t>consumption significantly increased mainly due to intensified drilling and blasting operations followed by increased volumes of ore mining (the volume of fired rock increased 41% p-o-p).</w:t>
      </w:r>
    </w:p>
    <w:p w:rsidR="00916675" w:rsidRPr="00227C94" w:rsidRDefault="00916675" w:rsidP="00821069">
      <w:pPr>
        <w:pStyle w:val="20"/>
        <w:rPr>
          <w:lang w:val="en-US"/>
        </w:rPr>
      </w:pPr>
      <w:r w:rsidRPr="00227C94">
        <w:rPr>
          <w:lang w:val="en-US"/>
        </w:rPr>
        <w:t>The Irkutsk ore business unit: Commissioning of the Verninskoye mine in December 2011 and further ramp-up of the operations during the H1 2012 resulted in a higher consumption of all materials and spares in comparison to the H1 2011.</w:t>
      </w:r>
    </w:p>
    <w:p w:rsidR="00916675" w:rsidRPr="00227C94" w:rsidRDefault="00916675" w:rsidP="00821069">
      <w:pPr>
        <w:pStyle w:val="20"/>
        <w:rPr>
          <w:lang w:val="en-US"/>
        </w:rPr>
      </w:pPr>
      <w:r w:rsidRPr="00227C94">
        <w:rPr>
          <w:spacing w:val="-2"/>
          <w:lang w:val="en-US"/>
        </w:rPr>
        <w:t xml:space="preserve">The Kazakhstan business unit: The business unit faced a reduction in ore mining and processing </w:t>
      </w:r>
      <w:r w:rsidRPr="00227C94">
        <w:rPr>
          <w:lang w:val="en-US"/>
        </w:rPr>
        <w:t xml:space="preserve">in line with the transition to underground mining along with open pit reserves depletion. </w:t>
      </w:r>
      <w:r w:rsidR="00821069" w:rsidRPr="00227C94">
        <w:rPr>
          <w:lang w:val="en-US"/>
        </w:rPr>
        <w:br/>
      </w:r>
      <w:r w:rsidRPr="00227C94">
        <w:rPr>
          <w:lang w:val="en-US"/>
        </w:rPr>
        <w:t>This resulted in just 9% p-o-p growth in costs for consumables and spares in comparison to 21% growth for the Group.</w:t>
      </w:r>
    </w:p>
    <w:p w:rsidR="00821069" w:rsidRPr="00227C94" w:rsidRDefault="00821069" w:rsidP="00821069">
      <w:pPr>
        <w:pStyle w:val="23"/>
        <w:spacing w:line="180" w:lineRule="exact"/>
        <w:rPr>
          <w:color w:val="auto"/>
          <w:lang w:val="en-US"/>
        </w:rPr>
      </w:pPr>
    </w:p>
    <w:p w:rsidR="00916675" w:rsidRPr="00227C94" w:rsidRDefault="00916675" w:rsidP="00821069">
      <w:pPr>
        <w:pStyle w:val="23"/>
        <w:rPr>
          <w:color w:val="auto"/>
          <w:highlight w:val="yellow"/>
          <w:lang w:val="en-US"/>
        </w:rPr>
      </w:pPr>
      <w:r w:rsidRPr="00227C94">
        <w:rPr>
          <w:color w:val="auto"/>
          <w:lang w:val="en-US"/>
        </w:rPr>
        <w:t>It is important to note that the growth in costs for materials and spares was almost in line with the growth in ore mining.</w:t>
      </w:r>
    </w:p>
    <w:p w:rsidR="00916675" w:rsidRPr="00227C94" w:rsidRDefault="00916675" w:rsidP="00821069">
      <w:pPr>
        <w:pStyle w:val="23"/>
        <w:spacing w:line="180" w:lineRule="exact"/>
        <w:rPr>
          <w:color w:val="auto"/>
          <w:highlight w:val="yellow"/>
          <w:lang w:val="en-US"/>
        </w:rPr>
      </w:pPr>
    </w:p>
    <w:p w:rsidR="00916675" w:rsidRPr="00227C94" w:rsidRDefault="00916675" w:rsidP="00821069">
      <w:pPr>
        <w:pStyle w:val="31"/>
        <w:rPr>
          <w:b w:val="0"/>
        </w:rPr>
      </w:pPr>
      <w:bookmarkStart w:id="121" w:name="_DV_M142"/>
      <w:bookmarkEnd w:id="121"/>
      <w:r w:rsidRPr="00227C94">
        <w:rPr>
          <w:b w:val="0"/>
        </w:rPr>
        <w:t>Fuel</w:t>
      </w:r>
    </w:p>
    <w:p w:rsidR="00821069" w:rsidRPr="00227C94" w:rsidRDefault="00821069" w:rsidP="00821069">
      <w:pPr>
        <w:pStyle w:val="23"/>
        <w:spacing w:line="180" w:lineRule="exact"/>
        <w:rPr>
          <w:color w:val="auto"/>
          <w:lang w:val="en-US"/>
        </w:rPr>
      </w:pPr>
      <w:bookmarkStart w:id="122" w:name="_DV_M143"/>
      <w:bookmarkEnd w:id="122"/>
    </w:p>
    <w:p w:rsidR="00916675" w:rsidRPr="00227C94" w:rsidRDefault="00916675" w:rsidP="00821069">
      <w:pPr>
        <w:pStyle w:val="23"/>
        <w:rPr>
          <w:color w:val="auto"/>
          <w:lang w:val="en-US"/>
        </w:rPr>
      </w:pPr>
      <w:r w:rsidRPr="00227C94">
        <w:rPr>
          <w:color w:val="auto"/>
          <w:lang w:val="en-US"/>
        </w:rPr>
        <w:t xml:space="preserve">The cost of fuel, diesel oil and lubricants for trucks and excavators consumed during the first half of </w:t>
      </w:r>
      <w:r w:rsidRPr="00227C94">
        <w:rPr>
          <w:color w:val="auto"/>
          <w:spacing w:val="-4"/>
          <w:lang w:val="en-US"/>
        </w:rPr>
        <w:t>2012 was USD67</w:t>
      </w:r>
      <w:proofErr w:type="gramStart"/>
      <w:r w:rsidRPr="00227C94">
        <w:rPr>
          <w:color w:val="auto"/>
          <w:spacing w:val="-4"/>
          <w:lang w:val="en-US"/>
        </w:rPr>
        <w:t>,290</w:t>
      </w:r>
      <w:proofErr w:type="gramEnd"/>
      <w:r w:rsidRPr="00227C94">
        <w:rPr>
          <w:color w:val="auto"/>
          <w:spacing w:val="-4"/>
          <w:lang w:val="en-US"/>
        </w:rPr>
        <w:t xml:space="preserve"> thousand, an increase of 23% in comparison to the first half of 2011. The increase was higher than the average p-o-p growth in crude oil prices, which is explained by growth in prices for oil </w:t>
      </w:r>
      <w:r w:rsidRPr="00227C94">
        <w:rPr>
          <w:color w:val="auto"/>
          <w:spacing w:val="-2"/>
          <w:lang w:val="en-US"/>
        </w:rPr>
        <w:t xml:space="preserve">products, as well as by additional consumption, mainly as a result of diesel consumption by the Irkutsk </w:t>
      </w:r>
      <w:r w:rsidRPr="00227C94">
        <w:rPr>
          <w:color w:val="auto"/>
          <w:spacing w:val="-3"/>
          <w:lang w:val="en-US"/>
        </w:rPr>
        <w:t xml:space="preserve">ore business unit (in the </w:t>
      </w:r>
      <w:r w:rsidR="007568F1" w:rsidRPr="00227C94">
        <w:rPr>
          <w:color w:val="auto"/>
          <w:spacing w:val="-3"/>
          <w:lang w:val="en-US"/>
        </w:rPr>
        <w:t xml:space="preserve">Q1 </w:t>
      </w:r>
      <w:r w:rsidRPr="00227C94">
        <w:rPr>
          <w:color w:val="auto"/>
          <w:spacing w:val="-3"/>
          <w:lang w:val="en-US"/>
        </w:rPr>
        <w:t xml:space="preserve">2012 the Verninskoye mine had diesel power generation feed only, however </w:t>
      </w:r>
      <w:r w:rsidRPr="00227C94">
        <w:rPr>
          <w:color w:val="auto"/>
          <w:lang w:val="en-US"/>
        </w:rPr>
        <w:t xml:space="preserve">in May 2012 the mine was connected to the federal power grid). Higher consumption of fuel in H1 2012 was </w:t>
      </w:r>
      <w:r w:rsidR="007568F1" w:rsidRPr="00227C94">
        <w:rPr>
          <w:color w:val="auto"/>
          <w:lang w:val="en-US"/>
        </w:rPr>
        <w:t xml:space="preserve">experienced </w:t>
      </w:r>
      <w:r w:rsidRPr="00227C94">
        <w:rPr>
          <w:color w:val="auto"/>
          <w:lang w:val="en-US"/>
        </w:rPr>
        <w:t xml:space="preserve">at the alluvial mines (due to early commissioning of operations), as well as the Yakutia Kuranakh business unit (freight turnover increased 46% p-o-p). The Krasnoyarsk business unit decreased consumption of fuel </w:t>
      </w:r>
      <w:bookmarkStart w:id="123" w:name="_DV_C82"/>
      <w:r w:rsidRPr="00227C94">
        <w:rPr>
          <w:color w:val="auto"/>
          <w:lang w:val="en-US"/>
        </w:rPr>
        <w:t>by volume</w:t>
      </w:r>
      <w:bookmarkStart w:id="124" w:name="_DV_M145"/>
      <w:bookmarkEnd w:id="123"/>
      <w:bookmarkEnd w:id="124"/>
      <w:r w:rsidRPr="00227C94">
        <w:rPr>
          <w:color w:val="auto"/>
          <w:lang w:val="en-US"/>
        </w:rPr>
        <w:t xml:space="preserve"> primarily as a result of decrease in in-house generation and override to the acquisition of less expensive electricity from federal grids. In addition, load reduction at coal and diesel power stations at the Krasnoyarsk business unit resulted in higher efficiency of generation at these stations.</w:t>
      </w:r>
    </w:p>
    <w:p w:rsidR="00916675" w:rsidRPr="00227C94" w:rsidRDefault="00916675" w:rsidP="00821069">
      <w:pPr>
        <w:pStyle w:val="41"/>
        <w:rPr>
          <w:lang w:val="en-US"/>
        </w:rPr>
      </w:pPr>
      <w:bookmarkStart w:id="125" w:name="_DV_M148"/>
      <w:bookmarkEnd w:id="125"/>
      <w:r w:rsidRPr="00227C94">
        <w:lastRenderedPageBreak/>
        <w:t>Labour</w:t>
      </w:r>
    </w:p>
    <w:p w:rsidR="00821069" w:rsidRPr="00227C94" w:rsidRDefault="00821069" w:rsidP="00821069">
      <w:pPr>
        <w:pStyle w:val="23"/>
        <w:rPr>
          <w:color w:val="auto"/>
          <w:lang w:val="en-US"/>
        </w:rPr>
      </w:pPr>
    </w:p>
    <w:p w:rsidR="00916675" w:rsidRPr="00227C94" w:rsidRDefault="00916675" w:rsidP="00821069">
      <w:pPr>
        <w:pStyle w:val="23"/>
        <w:rPr>
          <w:color w:val="auto"/>
          <w:lang w:val="en-US"/>
        </w:rPr>
      </w:pPr>
      <w:bookmarkStart w:id="126" w:name="_DV_M149"/>
      <w:bookmarkEnd w:id="126"/>
      <w:r w:rsidRPr="00227C94">
        <w:rPr>
          <w:color w:val="auto"/>
          <w:lang w:val="en-US"/>
        </w:rPr>
        <w:t>Labour costs comprised 28% of cash operating costs in the first six months of 2012. These costs increased by 29% to USD157</w:t>
      </w:r>
      <w:proofErr w:type="gramStart"/>
      <w:r w:rsidRPr="00227C94">
        <w:rPr>
          <w:color w:val="auto"/>
          <w:lang w:val="en-US"/>
        </w:rPr>
        <w:t>,860</w:t>
      </w:r>
      <w:proofErr w:type="gramEnd"/>
      <w:r w:rsidRPr="00227C94">
        <w:rPr>
          <w:color w:val="auto"/>
          <w:lang w:val="en-US"/>
        </w:rPr>
        <w:t xml:space="preserve"> thousand, with the Krasnoyarsk and Irkutsk ore business units being the major contributors to the payroll cost growth. Also, in the beginning of 2012 the Group </w:t>
      </w:r>
      <w:r w:rsidRPr="00227C94">
        <w:rPr>
          <w:color w:val="auto"/>
          <w:spacing w:val="-2"/>
          <w:lang w:val="en-US"/>
        </w:rPr>
        <w:t xml:space="preserve">initiated indexation of salaries for operating employees. The average indexation level (payroll increase) </w:t>
      </w:r>
      <w:r w:rsidRPr="00227C94">
        <w:rPr>
          <w:color w:val="auto"/>
          <w:lang w:val="en-US"/>
        </w:rPr>
        <w:t>was 6% varying from 3% in the Magadan business unit to 13% in the Krasnoyarsk business unit.</w:t>
      </w:r>
    </w:p>
    <w:p w:rsidR="00821069" w:rsidRPr="00227C94" w:rsidRDefault="00821069" w:rsidP="00821069">
      <w:pPr>
        <w:pStyle w:val="23"/>
        <w:rPr>
          <w:color w:val="auto"/>
          <w:lang w:val="en-US"/>
        </w:rPr>
      </w:pPr>
    </w:p>
    <w:p w:rsidR="00916675" w:rsidRPr="00227C94" w:rsidRDefault="00916675" w:rsidP="00821069">
      <w:pPr>
        <w:pStyle w:val="20"/>
        <w:rPr>
          <w:lang w:val="en-US"/>
        </w:rPr>
      </w:pPr>
      <w:r w:rsidRPr="00227C94">
        <w:rPr>
          <w:lang w:val="en-US"/>
        </w:rPr>
        <w:t>The Krasnoyarsk business unit: An increase in labour expenses driven by salary indexation</w:t>
      </w:r>
      <w:r w:rsidR="00F66D2A" w:rsidRPr="00227C94">
        <w:rPr>
          <w:lang w:val="en-US"/>
        </w:rPr>
        <w:t xml:space="preserve">. This was </w:t>
      </w:r>
      <w:r w:rsidRPr="00227C94">
        <w:rPr>
          <w:lang w:val="en-US"/>
        </w:rPr>
        <w:t>partly offset by an 18% decrease in the average number of production personnel.</w:t>
      </w:r>
    </w:p>
    <w:p w:rsidR="00916675" w:rsidRPr="00227C94" w:rsidRDefault="00916675" w:rsidP="00821069">
      <w:pPr>
        <w:pStyle w:val="20"/>
        <w:rPr>
          <w:lang w:val="en-US"/>
        </w:rPr>
      </w:pPr>
      <w:r w:rsidRPr="00227C94">
        <w:rPr>
          <w:lang w:val="en-US"/>
        </w:rPr>
        <w:t xml:space="preserve">The Irkutsk ore business unit: The average number of production personnel increased by 3% </w:t>
      </w:r>
      <w:r w:rsidR="00821069" w:rsidRPr="00227C94">
        <w:rPr>
          <w:lang w:val="en-US"/>
        </w:rPr>
        <w:br/>
      </w:r>
      <w:r w:rsidRPr="00227C94">
        <w:rPr>
          <w:lang w:val="en-US"/>
        </w:rPr>
        <w:t>p-o-p. The effect was enhanced by 9% salary indexation at the beginning of the year.</w:t>
      </w:r>
    </w:p>
    <w:p w:rsidR="00916675" w:rsidRPr="00227C94" w:rsidRDefault="00916675" w:rsidP="00821069">
      <w:pPr>
        <w:pStyle w:val="20"/>
        <w:rPr>
          <w:lang w:val="en-US"/>
        </w:rPr>
      </w:pPr>
      <w:r w:rsidRPr="00227C94">
        <w:rPr>
          <w:lang w:val="en-US"/>
        </w:rPr>
        <w:t>The Irkutsk alluvial business unit: The alluvial mining and preparation season in 2012 started earlier than in</w:t>
      </w:r>
      <w:bookmarkStart w:id="127" w:name="_DV_C88"/>
      <w:r w:rsidRPr="00227C94">
        <w:rPr>
          <w:lang w:val="en-US"/>
        </w:rPr>
        <w:t xml:space="preserve"> 2011,</w:t>
      </w:r>
      <w:bookmarkStart w:id="128" w:name="_DV_M150"/>
      <w:bookmarkEnd w:id="127"/>
      <w:bookmarkEnd w:id="128"/>
      <w:r w:rsidRPr="00227C94">
        <w:rPr>
          <w:lang w:val="en-US"/>
        </w:rPr>
        <w:t xml:space="preserve"> which led to higher payroll costs (increase of 16% p-o-p)</w:t>
      </w:r>
      <w:r w:rsidR="00F66D2A" w:rsidRPr="00227C94">
        <w:rPr>
          <w:lang w:val="en-US"/>
        </w:rPr>
        <w:t>.</w:t>
      </w:r>
      <w:r w:rsidRPr="00227C94">
        <w:rPr>
          <w:lang w:val="en-US"/>
        </w:rPr>
        <w:t xml:space="preserve"> </w:t>
      </w:r>
    </w:p>
    <w:p w:rsidR="00916675" w:rsidRPr="00227C94" w:rsidRDefault="00916675" w:rsidP="00821069">
      <w:pPr>
        <w:pStyle w:val="20"/>
        <w:rPr>
          <w:lang w:val="en-US"/>
        </w:rPr>
      </w:pPr>
      <w:r w:rsidRPr="00227C94">
        <w:rPr>
          <w:spacing w:val="-2"/>
          <w:lang w:val="en-US"/>
        </w:rPr>
        <w:t xml:space="preserve">The Kazakhstan business unit: Payroll costs decreased due to 1) </w:t>
      </w:r>
      <w:r w:rsidR="00BE3B13" w:rsidRPr="00227C94">
        <w:rPr>
          <w:spacing w:val="-2"/>
          <w:lang w:val="en-US"/>
        </w:rPr>
        <w:t>a</w:t>
      </w:r>
      <w:r w:rsidRPr="00227C94">
        <w:rPr>
          <w:spacing w:val="-2"/>
          <w:lang w:val="en-US"/>
        </w:rPr>
        <w:t xml:space="preserve"> decrease in the number of </w:t>
      </w:r>
      <w:r w:rsidRPr="00227C94">
        <w:rPr>
          <w:lang w:val="en-US"/>
        </w:rPr>
        <w:t>production personnel, 2) part of labour costs has been reclassified as change in inventory and capitali</w:t>
      </w:r>
      <w:r w:rsidR="00BE3B13" w:rsidRPr="00227C94">
        <w:rPr>
          <w:lang w:val="en-US"/>
        </w:rPr>
        <w:t>s</w:t>
      </w:r>
      <w:r w:rsidRPr="00227C94">
        <w:rPr>
          <w:lang w:val="en-US"/>
        </w:rPr>
        <w:t>ed. This however was partly offset by</w:t>
      </w:r>
      <w:r w:rsidR="005E47D3" w:rsidRPr="00227C94">
        <w:rPr>
          <w:lang w:val="en-US"/>
        </w:rPr>
        <w:t xml:space="preserve"> an</w:t>
      </w:r>
      <w:r w:rsidRPr="00227C94">
        <w:rPr>
          <w:lang w:val="en-US"/>
        </w:rPr>
        <w:t xml:space="preserve"> increase in salaries during H12012 (overall 6% industry indexation according to the Federal Law).</w:t>
      </w:r>
    </w:p>
    <w:p w:rsidR="00916675" w:rsidRPr="00227C94" w:rsidRDefault="00916675" w:rsidP="00821069">
      <w:pPr>
        <w:pStyle w:val="20"/>
        <w:rPr>
          <w:spacing w:val="-2"/>
          <w:lang w:val="en-US"/>
        </w:rPr>
      </w:pPr>
      <w:r w:rsidRPr="00227C94">
        <w:rPr>
          <w:lang w:val="en-US"/>
        </w:rPr>
        <w:t xml:space="preserve">CJSC Polyus Logistics: Established in 2011 to provide transportation services to the Group’s </w:t>
      </w:r>
      <w:r w:rsidRPr="00227C94">
        <w:rPr>
          <w:spacing w:val="-2"/>
          <w:lang w:val="en-US"/>
        </w:rPr>
        <w:t xml:space="preserve">subsidiaries. The average number of personnel increased from </w:t>
      </w:r>
      <w:r w:rsidR="00BE3B13" w:rsidRPr="00227C94">
        <w:rPr>
          <w:spacing w:val="-2"/>
          <w:lang w:val="en-US"/>
        </w:rPr>
        <w:t>three</w:t>
      </w:r>
      <w:r w:rsidRPr="00227C94">
        <w:rPr>
          <w:spacing w:val="-2"/>
          <w:lang w:val="en-US"/>
        </w:rPr>
        <w:t xml:space="preserve"> employees as at 30 June 2011 to 1,639 employees as at 30 June 2012.</w:t>
      </w:r>
    </w:p>
    <w:p w:rsidR="00821069" w:rsidRPr="00227C94" w:rsidRDefault="00821069" w:rsidP="00821069">
      <w:pPr>
        <w:pStyle w:val="23"/>
        <w:rPr>
          <w:color w:val="auto"/>
          <w:lang w:val="en-US"/>
        </w:rPr>
      </w:pPr>
    </w:p>
    <w:p w:rsidR="00916675" w:rsidRPr="00227C94" w:rsidRDefault="00916675" w:rsidP="00821069">
      <w:pPr>
        <w:pStyle w:val="23"/>
        <w:rPr>
          <w:color w:val="auto"/>
          <w:lang w:val="en-US"/>
        </w:rPr>
      </w:pPr>
      <w:r w:rsidRPr="00227C94">
        <w:rPr>
          <w:color w:val="auto"/>
          <w:spacing w:val="-3"/>
          <w:lang w:val="en-US"/>
        </w:rPr>
        <w:t xml:space="preserve">Also in the reporting period an additional bonus for the results performance in H1 2012 for operating </w:t>
      </w:r>
      <w:r w:rsidRPr="00227C94">
        <w:rPr>
          <w:color w:val="auto"/>
          <w:lang w:val="en-US"/>
        </w:rPr>
        <w:t>personnel of the Krasnoyarsk and Yakutia Kuranakh business units, as well as for personnel of CJSC Polyus Logistics, has been accrued.</w:t>
      </w:r>
    </w:p>
    <w:p w:rsidR="00821069" w:rsidRPr="00227C94" w:rsidRDefault="00821069" w:rsidP="00821069">
      <w:pPr>
        <w:pStyle w:val="23"/>
        <w:rPr>
          <w:color w:val="auto"/>
          <w:lang w:val="en-US"/>
        </w:rPr>
      </w:pPr>
    </w:p>
    <w:p w:rsidR="00916675" w:rsidRPr="00227C94" w:rsidRDefault="00916675" w:rsidP="00821069">
      <w:pPr>
        <w:pStyle w:val="41"/>
        <w:rPr>
          <w:lang w:val="en-US"/>
        </w:rPr>
      </w:pPr>
      <w:bookmarkStart w:id="129" w:name="_DV_M151"/>
      <w:bookmarkEnd w:id="129"/>
      <w:r w:rsidRPr="00227C94">
        <w:t>Tax on mining</w:t>
      </w:r>
    </w:p>
    <w:p w:rsidR="00821069" w:rsidRPr="00227C94" w:rsidRDefault="00821069" w:rsidP="00821069">
      <w:pPr>
        <w:pStyle w:val="23"/>
        <w:rPr>
          <w:color w:val="auto"/>
          <w:lang w:val="en-US"/>
        </w:rPr>
      </w:pPr>
    </w:p>
    <w:p w:rsidR="00916675" w:rsidRPr="00227C94" w:rsidRDefault="00916675" w:rsidP="00821069">
      <w:pPr>
        <w:pStyle w:val="23"/>
        <w:rPr>
          <w:color w:val="auto"/>
          <w:lang w:val="en-US"/>
        </w:rPr>
      </w:pPr>
      <w:bookmarkStart w:id="130" w:name="_DV_M152"/>
      <w:bookmarkEnd w:id="130"/>
      <w:r w:rsidRPr="00227C94">
        <w:rPr>
          <w:color w:val="auto"/>
          <w:lang w:val="en-US"/>
        </w:rPr>
        <w:t xml:space="preserve">In </w:t>
      </w:r>
      <w:bookmarkStart w:id="131" w:name="_DV_C90"/>
      <w:r w:rsidRPr="00227C94">
        <w:rPr>
          <w:color w:val="auto"/>
          <w:lang w:val="en-US"/>
        </w:rPr>
        <w:t>H1</w:t>
      </w:r>
      <w:r w:rsidR="005A0B85" w:rsidRPr="00227C94">
        <w:rPr>
          <w:color w:val="auto"/>
          <w:lang w:val="en-US"/>
        </w:rPr>
        <w:t xml:space="preserve"> </w:t>
      </w:r>
      <w:r w:rsidRPr="00227C94">
        <w:rPr>
          <w:color w:val="auto"/>
          <w:lang w:val="en-US"/>
        </w:rPr>
        <w:t>2012,</w:t>
      </w:r>
      <w:bookmarkStart w:id="132" w:name="_DV_M153"/>
      <w:bookmarkEnd w:id="131"/>
      <w:bookmarkEnd w:id="132"/>
      <w:r w:rsidRPr="00227C94">
        <w:rPr>
          <w:color w:val="auto"/>
          <w:lang w:val="en-US"/>
        </w:rPr>
        <w:t xml:space="preserve"> mining </w:t>
      </w:r>
      <w:bookmarkStart w:id="133" w:name="_DV_C92"/>
      <w:r w:rsidRPr="00227C94">
        <w:rPr>
          <w:color w:val="auto"/>
          <w:lang w:val="en-US"/>
        </w:rPr>
        <w:t xml:space="preserve">tax expenses represented </w:t>
      </w:r>
      <w:bookmarkStart w:id="134" w:name="_DV_M154"/>
      <w:bookmarkEnd w:id="133"/>
      <w:bookmarkEnd w:id="134"/>
      <w:r w:rsidRPr="00227C94">
        <w:rPr>
          <w:color w:val="auto"/>
          <w:lang w:val="en-US"/>
        </w:rPr>
        <w:t>16% of cash operating costs. In the first half of 2012, the Group accrued USD90</w:t>
      </w:r>
      <w:proofErr w:type="gramStart"/>
      <w:r w:rsidRPr="00227C94">
        <w:rPr>
          <w:color w:val="auto"/>
          <w:lang w:val="en-US"/>
        </w:rPr>
        <w:t>,842</w:t>
      </w:r>
      <w:proofErr w:type="gramEnd"/>
      <w:r w:rsidRPr="00227C94">
        <w:rPr>
          <w:color w:val="auto"/>
          <w:lang w:val="en-US"/>
        </w:rPr>
        <w:t xml:space="preserve"> </w:t>
      </w:r>
      <w:bookmarkStart w:id="135" w:name="_DV_C94"/>
      <w:r w:rsidRPr="00227C94">
        <w:rPr>
          <w:color w:val="auto"/>
          <w:lang w:val="en-US"/>
        </w:rPr>
        <w:t>thousand of</w:t>
      </w:r>
      <w:bookmarkStart w:id="136" w:name="_DV_M155"/>
      <w:bookmarkEnd w:id="135"/>
      <w:bookmarkEnd w:id="136"/>
      <w:r w:rsidRPr="00227C94">
        <w:rPr>
          <w:color w:val="auto"/>
          <w:lang w:val="en-US"/>
        </w:rPr>
        <w:t xml:space="preserve"> tax on mining, compared to USD71,393 thousand in </w:t>
      </w:r>
      <w:r w:rsidR="00821069" w:rsidRPr="00227C94">
        <w:rPr>
          <w:color w:val="auto"/>
          <w:lang w:val="en-US"/>
        </w:rPr>
        <w:br/>
      </w:r>
      <w:r w:rsidRPr="00227C94">
        <w:rPr>
          <w:color w:val="auto"/>
          <w:lang w:val="en-US"/>
        </w:rPr>
        <w:t xml:space="preserve">the same period of the previous year. The increase was driven by higher realised gold prices and enhanced sales volumes. The mining tax </w:t>
      </w:r>
      <w:bookmarkStart w:id="137" w:name="_DV_C96"/>
      <w:r w:rsidRPr="00227C94">
        <w:rPr>
          <w:color w:val="auto"/>
          <w:lang w:val="en-US"/>
        </w:rPr>
        <w:t>rates in</w:t>
      </w:r>
      <w:bookmarkStart w:id="138" w:name="_DV_M156"/>
      <w:bookmarkEnd w:id="137"/>
      <w:bookmarkEnd w:id="138"/>
      <w:r w:rsidRPr="00227C94">
        <w:rPr>
          <w:color w:val="auto"/>
          <w:lang w:val="en-US"/>
        </w:rPr>
        <w:t xml:space="preserve"> Russia and Kazakhstan </w:t>
      </w:r>
      <w:bookmarkStart w:id="139" w:name="_DV_C98"/>
      <w:r w:rsidRPr="00227C94">
        <w:rPr>
          <w:color w:val="auto"/>
          <w:lang w:val="en-US"/>
        </w:rPr>
        <w:t>were established</w:t>
      </w:r>
      <w:bookmarkStart w:id="140" w:name="_DV_M157"/>
      <w:bookmarkEnd w:id="139"/>
      <w:bookmarkEnd w:id="140"/>
      <w:r w:rsidRPr="00227C94">
        <w:rPr>
          <w:color w:val="auto"/>
          <w:lang w:val="en-US"/>
        </w:rPr>
        <w:t xml:space="preserve"> at 6% and 5%, respectively.</w:t>
      </w:r>
    </w:p>
    <w:p w:rsidR="00821069" w:rsidRPr="00227C94" w:rsidRDefault="00821069" w:rsidP="00821069">
      <w:pPr>
        <w:pStyle w:val="23"/>
        <w:rPr>
          <w:color w:val="auto"/>
          <w:lang w:val="en-US"/>
        </w:rPr>
      </w:pPr>
    </w:p>
    <w:p w:rsidR="00916675" w:rsidRPr="00227C94" w:rsidRDefault="00916675" w:rsidP="00821069">
      <w:pPr>
        <w:pStyle w:val="41"/>
        <w:rPr>
          <w:lang w:val="en-US"/>
        </w:rPr>
      </w:pPr>
      <w:bookmarkStart w:id="141" w:name="_DV_M158"/>
      <w:bookmarkEnd w:id="141"/>
      <w:r w:rsidRPr="00227C94">
        <w:t>Utilities</w:t>
      </w:r>
    </w:p>
    <w:p w:rsidR="00821069" w:rsidRPr="00227C94" w:rsidRDefault="00821069" w:rsidP="00821069">
      <w:pPr>
        <w:pStyle w:val="23"/>
        <w:rPr>
          <w:color w:val="auto"/>
          <w:lang w:val="en-US"/>
        </w:rPr>
      </w:pPr>
    </w:p>
    <w:p w:rsidR="00916675" w:rsidRPr="00227C94" w:rsidRDefault="00916675" w:rsidP="00821069">
      <w:pPr>
        <w:pStyle w:val="23"/>
        <w:rPr>
          <w:color w:val="auto"/>
          <w:lang w:val="en-US"/>
        </w:rPr>
      </w:pPr>
      <w:bookmarkStart w:id="142" w:name="_DV_M159"/>
      <w:bookmarkEnd w:id="142"/>
      <w:r w:rsidRPr="00227C94">
        <w:rPr>
          <w:color w:val="auto"/>
          <w:lang w:val="en-US"/>
        </w:rPr>
        <w:t>Utilities expenses, comprising 5% of cash operating costs, decreased from USD29</w:t>
      </w:r>
      <w:proofErr w:type="gramStart"/>
      <w:r w:rsidRPr="00227C94">
        <w:rPr>
          <w:color w:val="auto"/>
          <w:lang w:val="en-US"/>
        </w:rPr>
        <w:t>,595</w:t>
      </w:r>
      <w:proofErr w:type="gramEnd"/>
      <w:r w:rsidRPr="00227C94">
        <w:rPr>
          <w:color w:val="auto"/>
          <w:lang w:val="en-US"/>
        </w:rPr>
        <w:t xml:space="preserve"> thousand in the first half of 2011 to USD 28,288 thousand in the first half of </w:t>
      </w:r>
      <w:bookmarkStart w:id="143" w:name="_DV_C100"/>
      <w:r w:rsidRPr="00227C94">
        <w:rPr>
          <w:color w:val="auto"/>
          <w:lang w:val="en-US"/>
        </w:rPr>
        <w:t>2012, mainly comprising power costs. There were no significant power tariff fluctuations on p-o-p basis. However, some changes in power consumption by business units within the Group occurred.</w:t>
      </w:r>
    </w:p>
    <w:p w:rsidR="00821069" w:rsidRPr="00227C94" w:rsidRDefault="00821069" w:rsidP="00821069">
      <w:pPr>
        <w:pStyle w:val="23"/>
        <w:rPr>
          <w:color w:val="auto"/>
          <w:lang w:val="en-US"/>
        </w:rPr>
      </w:pPr>
    </w:p>
    <w:p w:rsidR="00916675" w:rsidRPr="00227C94" w:rsidRDefault="00916675" w:rsidP="00821069">
      <w:pPr>
        <w:pStyle w:val="20"/>
        <w:rPr>
          <w:spacing w:val="-2"/>
        </w:rPr>
      </w:pPr>
      <w:r w:rsidRPr="00227C94">
        <w:rPr>
          <w:lang w:val="en-US"/>
        </w:rPr>
        <w:t xml:space="preserve">The Krasnoyarsk business unit increased power consumption following increased mining and </w:t>
      </w:r>
      <w:r w:rsidRPr="00227C94">
        <w:rPr>
          <w:spacing w:val="-2"/>
          <w:lang w:val="en-US"/>
        </w:rPr>
        <w:t xml:space="preserve">processing volumes and following decrease in in-house generation. </w:t>
      </w:r>
      <w:r w:rsidRPr="00227C94">
        <w:rPr>
          <w:spacing w:val="-2"/>
        </w:rPr>
        <w:t>Power costs increased 14% p-o-p in rouble terms.</w:t>
      </w:r>
    </w:p>
    <w:p w:rsidR="00916675" w:rsidRPr="00227C94" w:rsidRDefault="00916675" w:rsidP="00821069">
      <w:pPr>
        <w:pStyle w:val="20"/>
        <w:rPr>
          <w:lang w:val="en-US"/>
        </w:rPr>
      </w:pPr>
      <w:r w:rsidRPr="00227C94">
        <w:rPr>
          <w:lang w:val="en-US"/>
        </w:rPr>
        <w:t>The Yakutia Kuranakh business unit also increased power costs (11% increase p-o-p) following 11% increase in ore processed.</w:t>
      </w:r>
    </w:p>
    <w:p w:rsidR="00916675" w:rsidRPr="00227C94" w:rsidRDefault="00916675" w:rsidP="00821069">
      <w:pPr>
        <w:pStyle w:val="20"/>
        <w:rPr>
          <w:lang w:val="en-US"/>
        </w:rPr>
      </w:pPr>
      <w:r w:rsidRPr="00227C94">
        <w:rPr>
          <w:lang w:val="en-US"/>
        </w:rPr>
        <w:t>The Irkutsk alluvial business unit. Decrease in power costs (27% in rouble terms p-o-p) mainly due to changes in principles of pricing at electricity market in Russia driven by regulators.</w:t>
      </w:r>
    </w:p>
    <w:p w:rsidR="00916675" w:rsidRPr="00227C94" w:rsidRDefault="00916675" w:rsidP="00821069">
      <w:pPr>
        <w:pStyle w:val="20"/>
        <w:rPr>
          <w:lang w:val="en-US"/>
        </w:rPr>
      </w:pPr>
      <w:r w:rsidRPr="00227C94">
        <w:rPr>
          <w:lang w:val="en-US"/>
        </w:rPr>
        <w:t>The Irkutsk ore business unit. No significant changes in consumption. Newly commissioned Verninskoye mine was supplied from diesel power stations, thus expenses were recogni</w:t>
      </w:r>
      <w:r w:rsidR="005A0B85" w:rsidRPr="00227C94">
        <w:rPr>
          <w:lang w:val="en-US"/>
        </w:rPr>
        <w:t>s</w:t>
      </w:r>
      <w:r w:rsidRPr="00227C94">
        <w:rPr>
          <w:lang w:val="en-US"/>
        </w:rPr>
        <w:t>ed as fuel costs.</w:t>
      </w:r>
    </w:p>
    <w:bookmarkEnd w:id="143"/>
    <w:p w:rsidR="00916675" w:rsidRPr="00227C94" w:rsidRDefault="00916675" w:rsidP="00821069">
      <w:pPr>
        <w:pStyle w:val="20"/>
        <w:rPr>
          <w:lang w:val="en-US"/>
        </w:rPr>
      </w:pPr>
      <w:r w:rsidRPr="00227C94">
        <w:rPr>
          <w:lang w:val="en-US"/>
        </w:rPr>
        <w:t>The Kazakhstan business unit. Mines in Kazakhstan decreased consumption of electricity due to slow down in production as well as due to more favourable weather conditions in H1 2012 compared to the H1 2011.</w:t>
      </w:r>
    </w:p>
    <w:p w:rsidR="00821069" w:rsidRPr="00227C94" w:rsidRDefault="00821069" w:rsidP="00821069">
      <w:pPr>
        <w:pStyle w:val="23"/>
        <w:rPr>
          <w:color w:val="auto"/>
          <w:lang w:val="en-US"/>
        </w:rPr>
      </w:pPr>
    </w:p>
    <w:p w:rsidR="00916675" w:rsidRPr="00227C94" w:rsidRDefault="00916675" w:rsidP="00821069">
      <w:pPr>
        <w:pStyle w:val="41"/>
        <w:rPr>
          <w:lang w:val="en-US"/>
        </w:rPr>
      </w:pPr>
      <w:r w:rsidRPr="00227C94">
        <w:t>Outsourced mining services</w:t>
      </w:r>
    </w:p>
    <w:p w:rsidR="00821069" w:rsidRPr="00227C94" w:rsidRDefault="00821069" w:rsidP="00821069">
      <w:pPr>
        <w:pStyle w:val="23"/>
        <w:rPr>
          <w:color w:val="auto"/>
          <w:lang w:val="en-US"/>
        </w:rPr>
      </w:pPr>
    </w:p>
    <w:p w:rsidR="00916675" w:rsidRPr="00227C94" w:rsidRDefault="00916675" w:rsidP="00821069">
      <w:pPr>
        <w:pStyle w:val="23"/>
        <w:rPr>
          <w:color w:val="auto"/>
          <w:lang w:val="en-US"/>
        </w:rPr>
      </w:pPr>
      <w:r w:rsidRPr="00227C94">
        <w:rPr>
          <w:color w:val="auto"/>
          <w:spacing w:val="-3"/>
          <w:lang w:val="en-US"/>
        </w:rPr>
        <w:t xml:space="preserve">Outsourced mining services relates mostly to the Irkutsk alluvial business unit. In </w:t>
      </w:r>
      <w:r w:rsidR="005E47D3" w:rsidRPr="00227C94">
        <w:rPr>
          <w:color w:val="auto"/>
          <w:spacing w:val="-3"/>
          <w:lang w:val="en-US"/>
        </w:rPr>
        <w:t>H1</w:t>
      </w:r>
      <w:r w:rsidRPr="00227C94">
        <w:rPr>
          <w:color w:val="auto"/>
          <w:spacing w:val="-3"/>
          <w:lang w:val="en-US"/>
        </w:rPr>
        <w:t xml:space="preserve"> 2012 expenses </w:t>
      </w:r>
      <w:r w:rsidRPr="00227C94">
        <w:rPr>
          <w:color w:val="auto"/>
          <w:lang w:val="en-US"/>
        </w:rPr>
        <w:t>on these services increased 110% and reached USD 7,099 thousand, which reflects early commencement of the operational season.</w:t>
      </w:r>
    </w:p>
    <w:p w:rsidR="00864259" w:rsidRPr="00227C94" w:rsidRDefault="00864259" w:rsidP="00821069">
      <w:pPr>
        <w:pStyle w:val="41"/>
        <w:rPr>
          <w:lang w:val="en-US"/>
        </w:rPr>
      </w:pPr>
    </w:p>
    <w:p w:rsidR="00916675" w:rsidRPr="00227C94" w:rsidRDefault="00916675" w:rsidP="00821069">
      <w:pPr>
        <w:pStyle w:val="41"/>
        <w:rPr>
          <w:lang w:val="en-US"/>
        </w:rPr>
      </w:pPr>
      <w:r w:rsidRPr="00227C94">
        <w:t>Refining costs</w:t>
      </w:r>
    </w:p>
    <w:p w:rsidR="00821069" w:rsidRPr="00227C94" w:rsidRDefault="00821069" w:rsidP="00821069">
      <w:pPr>
        <w:pStyle w:val="23"/>
        <w:rPr>
          <w:color w:val="auto"/>
          <w:lang w:val="en-US"/>
        </w:rPr>
      </w:pPr>
    </w:p>
    <w:p w:rsidR="00916675" w:rsidRPr="00227C94" w:rsidRDefault="00916675" w:rsidP="00821069">
      <w:pPr>
        <w:pStyle w:val="23"/>
        <w:rPr>
          <w:color w:val="auto"/>
          <w:lang w:val="en-US"/>
        </w:rPr>
      </w:pPr>
      <w:r w:rsidRPr="00227C94">
        <w:rPr>
          <w:color w:val="auto"/>
          <w:lang w:val="en-US"/>
        </w:rPr>
        <w:t>Refining costs increased 28% to USD2</w:t>
      </w:r>
      <w:proofErr w:type="gramStart"/>
      <w:r w:rsidRPr="00227C94">
        <w:rPr>
          <w:color w:val="auto"/>
          <w:lang w:val="en-US"/>
        </w:rPr>
        <w:t>,458</w:t>
      </w:r>
      <w:proofErr w:type="gramEnd"/>
      <w:r w:rsidRPr="00227C94">
        <w:rPr>
          <w:color w:val="auto"/>
          <w:lang w:val="en-US"/>
        </w:rPr>
        <w:t xml:space="preserve"> thousand due to the increase in volumes of Dore gold refined during H1 2012.</w:t>
      </w:r>
    </w:p>
    <w:p w:rsidR="00821069" w:rsidRPr="00227C94" w:rsidRDefault="00821069" w:rsidP="00821069">
      <w:pPr>
        <w:pStyle w:val="23"/>
        <w:rPr>
          <w:color w:val="auto"/>
          <w:lang w:val="en-US"/>
        </w:rPr>
      </w:pPr>
    </w:p>
    <w:p w:rsidR="00916675" w:rsidRPr="00227C94" w:rsidRDefault="00916675" w:rsidP="00821069">
      <w:pPr>
        <w:pStyle w:val="41"/>
        <w:rPr>
          <w:lang w:val="en-US"/>
        </w:rPr>
      </w:pPr>
      <w:r w:rsidRPr="00227C94">
        <w:t>Others</w:t>
      </w:r>
    </w:p>
    <w:p w:rsidR="00821069" w:rsidRPr="00227C94" w:rsidRDefault="00821069" w:rsidP="00821069">
      <w:pPr>
        <w:pStyle w:val="23"/>
        <w:rPr>
          <w:color w:val="auto"/>
          <w:lang w:val="en-US"/>
        </w:rPr>
      </w:pPr>
    </w:p>
    <w:p w:rsidR="00916675" w:rsidRPr="00227C94" w:rsidRDefault="00916675" w:rsidP="00821069">
      <w:pPr>
        <w:pStyle w:val="23"/>
        <w:rPr>
          <w:color w:val="auto"/>
          <w:lang w:val="en-US"/>
        </w:rPr>
      </w:pPr>
      <w:r w:rsidRPr="00227C94">
        <w:rPr>
          <w:color w:val="auto"/>
          <w:spacing w:val="-4"/>
          <w:lang w:val="en-US"/>
        </w:rPr>
        <w:t>Other costs in cost of gold sales increased 60% from USD26</w:t>
      </w:r>
      <w:proofErr w:type="gramStart"/>
      <w:r w:rsidRPr="00227C94">
        <w:rPr>
          <w:color w:val="auto"/>
          <w:spacing w:val="-4"/>
          <w:lang w:val="en-US"/>
        </w:rPr>
        <w:t>,481</w:t>
      </w:r>
      <w:proofErr w:type="gramEnd"/>
      <w:r w:rsidRPr="00227C94">
        <w:rPr>
          <w:color w:val="auto"/>
          <w:spacing w:val="-4"/>
          <w:lang w:val="en-US"/>
        </w:rPr>
        <w:t xml:space="preserve"> thousand in H1 2011 to USD42,417 thousand in the reporting period. These costs consist of transport, rent, repair, maintenance, insurance, security, business trips, communication expenses and other. The increase mainly relates to the increase </w:t>
      </w:r>
      <w:r w:rsidRPr="00227C94">
        <w:rPr>
          <w:color w:val="auto"/>
          <w:lang w:val="en-US"/>
        </w:rPr>
        <w:t>in transport expenses (</w:t>
      </w:r>
      <w:r w:rsidR="00864259" w:rsidRPr="00227C94">
        <w:rPr>
          <w:color w:val="auto"/>
          <w:lang w:val="en-US"/>
        </w:rPr>
        <w:t>85</w:t>
      </w:r>
      <w:r w:rsidRPr="00227C94">
        <w:rPr>
          <w:color w:val="auto"/>
          <w:lang w:val="en-US"/>
        </w:rPr>
        <w:t>% growth p-o-p), repair and maintenance expenses growth and rent expenses growth.</w:t>
      </w:r>
    </w:p>
    <w:p w:rsidR="00916675" w:rsidRPr="00227C94" w:rsidRDefault="00916675" w:rsidP="00821069">
      <w:pPr>
        <w:pStyle w:val="23"/>
        <w:rPr>
          <w:color w:val="auto"/>
          <w:lang w:val="en-US"/>
        </w:rPr>
      </w:pPr>
    </w:p>
    <w:p w:rsidR="00AA101D" w:rsidRPr="00227C94" w:rsidRDefault="00AA101D" w:rsidP="00AA101D">
      <w:pPr>
        <w:pStyle w:val="41"/>
        <w:rPr>
          <w:lang w:val="en-US"/>
        </w:rPr>
      </w:pPr>
      <w:bookmarkStart w:id="144" w:name="_DV_M166"/>
      <w:bookmarkStart w:id="145" w:name="_DV_M172"/>
      <w:bookmarkEnd w:id="144"/>
      <w:bookmarkEnd w:id="145"/>
      <w:r w:rsidRPr="00227C94">
        <w:rPr>
          <w:lang w:val="en-US"/>
        </w:rPr>
        <w:t>Amortisation and depreciation of operating assets</w:t>
      </w:r>
    </w:p>
    <w:p w:rsidR="00AA101D" w:rsidRPr="00227C94" w:rsidRDefault="00AA101D" w:rsidP="00AA101D">
      <w:pPr>
        <w:pStyle w:val="23"/>
        <w:rPr>
          <w:color w:val="auto"/>
          <w:lang w:val="en-US"/>
        </w:rPr>
      </w:pPr>
    </w:p>
    <w:p w:rsidR="00AA101D" w:rsidRPr="00227C94" w:rsidRDefault="00AA101D" w:rsidP="00AA101D">
      <w:pPr>
        <w:pStyle w:val="23"/>
        <w:rPr>
          <w:color w:val="auto"/>
          <w:lang w:val="en-US"/>
        </w:rPr>
      </w:pPr>
      <w:r w:rsidRPr="00227C94">
        <w:rPr>
          <w:color w:val="auto"/>
          <w:spacing w:val="-4"/>
          <w:lang w:val="en-US"/>
        </w:rPr>
        <w:t>Amortisation and depreciation of operating assets decreased 6% and amounted to USD84</w:t>
      </w:r>
      <w:proofErr w:type="gramStart"/>
      <w:r w:rsidRPr="00227C94">
        <w:rPr>
          <w:color w:val="auto"/>
          <w:spacing w:val="-4"/>
          <w:lang w:val="en-US"/>
        </w:rPr>
        <w:t>,137</w:t>
      </w:r>
      <w:proofErr w:type="gramEnd"/>
      <w:r w:rsidRPr="00227C94">
        <w:rPr>
          <w:color w:val="auto"/>
          <w:spacing w:val="-4"/>
          <w:lang w:val="en-US"/>
        </w:rPr>
        <w:t xml:space="preserve"> thousand in the first half of 2012. In the period H</w:t>
      </w:r>
      <w:r w:rsidR="005E47D3" w:rsidRPr="00227C94">
        <w:rPr>
          <w:color w:val="auto"/>
          <w:spacing w:val="-4"/>
          <w:lang w:val="en-US"/>
        </w:rPr>
        <w:t xml:space="preserve">2 </w:t>
      </w:r>
      <w:r w:rsidRPr="00227C94">
        <w:rPr>
          <w:color w:val="auto"/>
          <w:spacing w:val="-4"/>
          <w:lang w:val="en-US"/>
        </w:rPr>
        <w:t xml:space="preserve">2011 to H1 2012 the Group reviewed mine plans for Olimpiada (termination </w:t>
      </w:r>
      <w:r w:rsidRPr="00227C94">
        <w:rPr>
          <w:color w:val="auto"/>
          <w:lang w:val="en-US"/>
        </w:rPr>
        <w:t xml:space="preserve">year changed from 2022 to 2024), Blagodatnoye (termination year changed from 2026 to 2032) and </w:t>
      </w:r>
      <w:r w:rsidRPr="00227C94">
        <w:rPr>
          <w:color w:val="auto"/>
          <w:spacing w:val="-2"/>
          <w:lang w:val="en-US"/>
        </w:rPr>
        <w:t xml:space="preserve">Titimukhta (termination year changed from 2022 to 2021). </w:t>
      </w:r>
      <w:proofErr w:type="gramStart"/>
      <w:r w:rsidRPr="00227C94">
        <w:rPr>
          <w:color w:val="auto"/>
          <w:spacing w:val="-2"/>
          <w:lang w:val="en-US"/>
        </w:rPr>
        <w:t xml:space="preserve">This resulted in depreciation period increase, </w:t>
      </w:r>
      <w:r w:rsidRPr="00227C94">
        <w:rPr>
          <w:color w:val="auto"/>
          <w:lang w:val="en-US"/>
        </w:rPr>
        <w:t>and therefore decrease</w:t>
      </w:r>
      <w:proofErr w:type="gramEnd"/>
      <w:r w:rsidRPr="00227C94">
        <w:rPr>
          <w:color w:val="auto"/>
          <w:lang w:val="en-US"/>
        </w:rPr>
        <w:t xml:space="preserve"> in amortisation accrued in each period. Depreciation of Kuranakh deposits also decreased as a result of increase in depreciation period and the mine life. Another factor which influenced amortisation decrease is rouble depreciation of 7% p-o-p.</w:t>
      </w:r>
    </w:p>
    <w:p w:rsidR="00AA101D" w:rsidRPr="00227C94" w:rsidRDefault="00AA101D" w:rsidP="00AA101D">
      <w:pPr>
        <w:pStyle w:val="41"/>
        <w:numPr>
          <w:ilvl w:val="0"/>
          <w:numId w:val="0"/>
        </w:numPr>
        <w:rPr>
          <w:lang w:val="en-US"/>
        </w:rPr>
      </w:pPr>
    </w:p>
    <w:p w:rsidR="00916675" w:rsidRPr="00227C94" w:rsidRDefault="00916675" w:rsidP="00821069">
      <w:pPr>
        <w:pStyle w:val="41"/>
        <w:rPr>
          <w:lang w:val="en-US"/>
        </w:rPr>
      </w:pPr>
      <w:r w:rsidRPr="00227C94">
        <w:t>Deferred stripping costs expensed</w:t>
      </w:r>
    </w:p>
    <w:p w:rsidR="00821069" w:rsidRPr="00227C94" w:rsidRDefault="00821069" w:rsidP="00821069">
      <w:pPr>
        <w:pStyle w:val="23"/>
        <w:rPr>
          <w:color w:val="auto"/>
          <w:lang w:val="en-US"/>
        </w:rPr>
      </w:pPr>
    </w:p>
    <w:p w:rsidR="00916675" w:rsidRPr="00227C94" w:rsidRDefault="00916675" w:rsidP="00821069">
      <w:pPr>
        <w:pStyle w:val="23"/>
        <w:rPr>
          <w:color w:val="auto"/>
          <w:lang w:val="en-US"/>
        </w:rPr>
      </w:pPr>
      <w:bookmarkStart w:id="146" w:name="_DV_M173"/>
      <w:bookmarkEnd w:id="146"/>
      <w:r w:rsidRPr="00227C94">
        <w:rPr>
          <w:color w:val="auto"/>
          <w:lang w:val="en-US"/>
        </w:rPr>
        <w:t xml:space="preserve">The Group’s accounting policy stipulates that stripping costs incurred in the period are deferred to the extent that the current period stripping ratio exceeds the expected life-of-mine ratio. </w:t>
      </w:r>
      <w:bookmarkStart w:id="147" w:name="_DV_C118"/>
      <w:r w:rsidRPr="00227C94">
        <w:rPr>
          <w:color w:val="auto"/>
          <w:lang w:val="en-US"/>
        </w:rPr>
        <w:t>If</w:t>
      </w:r>
      <w:bookmarkStart w:id="148" w:name="_DV_M174"/>
      <w:bookmarkEnd w:id="147"/>
      <w:bookmarkEnd w:id="148"/>
      <w:r w:rsidRPr="00227C94">
        <w:rPr>
          <w:color w:val="auto"/>
          <w:lang w:val="en-US"/>
        </w:rPr>
        <w:t xml:space="preserve"> the current stripping ratio falls below the average life-of-mine stripping ratio, the stripping costs are charged to operating costs.</w:t>
      </w:r>
    </w:p>
    <w:p w:rsidR="00821069" w:rsidRPr="00227C94" w:rsidRDefault="00821069" w:rsidP="00821069">
      <w:pPr>
        <w:pStyle w:val="23"/>
        <w:rPr>
          <w:color w:val="auto"/>
          <w:lang w:val="en-US"/>
        </w:rPr>
      </w:pPr>
    </w:p>
    <w:p w:rsidR="00916675" w:rsidRPr="00227C94" w:rsidRDefault="00916675" w:rsidP="00821069">
      <w:pPr>
        <w:pStyle w:val="23"/>
        <w:rPr>
          <w:color w:val="auto"/>
          <w:lang w:val="en-US"/>
        </w:rPr>
      </w:pPr>
      <w:bookmarkStart w:id="149" w:name="_DV_M175"/>
      <w:bookmarkEnd w:id="149"/>
      <w:r w:rsidRPr="00227C94">
        <w:rPr>
          <w:color w:val="auto"/>
          <w:spacing w:val="-5"/>
          <w:lang w:val="en-US"/>
        </w:rPr>
        <w:t>In the first half of 2012, the Group capitalised USD8</w:t>
      </w:r>
      <w:proofErr w:type="gramStart"/>
      <w:r w:rsidRPr="00227C94">
        <w:rPr>
          <w:color w:val="auto"/>
          <w:spacing w:val="-5"/>
          <w:lang w:val="en-US"/>
        </w:rPr>
        <w:t>,507</w:t>
      </w:r>
      <w:proofErr w:type="gramEnd"/>
      <w:r w:rsidRPr="00227C94">
        <w:rPr>
          <w:color w:val="auto"/>
          <w:spacing w:val="-5"/>
          <w:lang w:val="en-US"/>
        </w:rPr>
        <w:t xml:space="preserve"> thousand of deferred stripping costs at Titimukhta and other deposits at the Yakutia Kuranakh business unit and expensed USD6,164 thousand of deferred stripping costs at the Olimpiada mine. This resulted in </w:t>
      </w:r>
      <w:r w:rsidR="005A0B85" w:rsidRPr="00227C94">
        <w:rPr>
          <w:color w:val="auto"/>
          <w:spacing w:val="-5"/>
          <w:lang w:val="en-US"/>
        </w:rPr>
        <w:t xml:space="preserve">a </w:t>
      </w:r>
      <w:r w:rsidRPr="00227C94">
        <w:rPr>
          <w:color w:val="auto"/>
          <w:spacing w:val="-5"/>
          <w:lang w:val="en-US"/>
        </w:rPr>
        <w:t>decrease in capitali</w:t>
      </w:r>
      <w:r w:rsidR="005A0B85" w:rsidRPr="00227C94">
        <w:rPr>
          <w:color w:val="auto"/>
          <w:spacing w:val="-5"/>
          <w:lang w:val="en-US"/>
        </w:rPr>
        <w:t>s</w:t>
      </w:r>
      <w:r w:rsidRPr="00227C94">
        <w:rPr>
          <w:color w:val="auto"/>
          <w:spacing w:val="-5"/>
          <w:lang w:val="en-US"/>
        </w:rPr>
        <w:t xml:space="preserve">ed deferred stripping </w:t>
      </w:r>
      <w:r w:rsidRPr="00227C94">
        <w:rPr>
          <w:color w:val="auto"/>
          <w:lang w:val="en-US"/>
        </w:rPr>
        <w:t>costs by USD2</w:t>
      </w:r>
      <w:proofErr w:type="gramStart"/>
      <w:r w:rsidRPr="00227C94">
        <w:rPr>
          <w:color w:val="auto"/>
          <w:lang w:val="en-US"/>
        </w:rPr>
        <w:t>,343</w:t>
      </w:r>
      <w:proofErr w:type="gramEnd"/>
      <w:r w:rsidRPr="00227C94">
        <w:rPr>
          <w:color w:val="auto"/>
          <w:lang w:val="en-US"/>
        </w:rPr>
        <w:t>. The stripping ratio at the Vostochnyi pit of the Olimpiada mine was higher than the average life-of-mine ratio and, therefore, stripping costs were written-off, which was partly offset by the capitalisation of the stripping costs incurred in H1</w:t>
      </w:r>
      <w:r w:rsidR="005A0B85" w:rsidRPr="00227C94">
        <w:rPr>
          <w:color w:val="auto"/>
          <w:lang w:val="en-US"/>
        </w:rPr>
        <w:t xml:space="preserve"> </w:t>
      </w:r>
      <w:r w:rsidRPr="00227C94">
        <w:rPr>
          <w:color w:val="auto"/>
          <w:lang w:val="en-US"/>
        </w:rPr>
        <w:t>2012 at Titimukhta and some deposits at the Yakutia Kuranakh business unit.</w:t>
      </w:r>
    </w:p>
    <w:p w:rsidR="00D2556E" w:rsidRPr="00227C94" w:rsidRDefault="00D2556E" w:rsidP="00821069">
      <w:pPr>
        <w:pStyle w:val="23"/>
        <w:rPr>
          <w:color w:val="auto"/>
          <w:lang w:val="en-US"/>
        </w:rPr>
      </w:pPr>
    </w:p>
    <w:p w:rsidR="00D2556E" w:rsidRPr="00227C94" w:rsidRDefault="00D2556E" w:rsidP="00821069">
      <w:pPr>
        <w:pStyle w:val="23"/>
        <w:rPr>
          <w:color w:val="auto"/>
          <w:lang w:val="en-US"/>
        </w:rPr>
      </w:pPr>
      <w:r w:rsidRPr="00227C94">
        <w:rPr>
          <w:color w:val="auto"/>
          <w:szCs w:val="20"/>
          <w:lang w:val="en-GB"/>
        </w:rPr>
        <w:t>In the first half of 2011, the stripping ratio at Olimpiada was lower than the</w:t>
      </w:r>
      <w:r w:rsidR="00244E4B" w:rsidRPr="00227C94">
        <w:rPr>
          <w:color w:val="auto"/>
          <w:szCs w:val="20"/>
          <w:lang w:val="en-GB"/>
        </w:rPr>
        <w:t xml:space="preserve"> average life-of-mine ratio</w:t>
      </w:r>
      <w:r w:rsidRPr="00227C94">
        <w:rPr>
          <w:color w:val="auto"/>
          <w:szCs w:val="20"/>
          <w:lang w:val="en-GB"/>
        </w:rPr>
        <w:t>, therefore, previously capitalized stripping costs</w:t>
      </w:r>
      <w:bookmarkStart w:id="150" w:name="_DV_M176"/>
      <w:bookmarkEnd w:id="150"/>
      <w:r w:rsidRPr="00227C94">
        <w:rPr>
          <w:color w:val="auto"/>
          <w:szCs w:val="20"/>
          <w:lang w:val="en-GB"/>
        </w:rPr>
        <w:t xml:space="preserve"> </w:t>
      </w:r>
      <w:r w:rsidR="00244E4B" w:rsidRPr="00227C94">
        <w:rPr>
          <w:color w:val="auto"/>
          <w:szCs w:val="20"/>
          <w:lang w:val="en-GB"/>
        </w:rPr>
        <w:t>(</w:t>
      </w:r>
      <w:r w:rsidRPr="00227C94">
        <w:rPr>
          <w:color w:val="auto"/>
          <w:szCs w:val="20"/>
          <w:lang w:val="en-GB"/>
        </w:rPr>
        <w:t xml:space="preserve">partly offset by the capitalization of the excessive stripping costs incurred in </w:t>
      </w:r>
      <w:bookmarkStart w:id="151" w:name="_DV_C122"/>
      <w:r w:rsidRPr="00227C94">
        <w:rPr>
          <w:rStyle w:val="DeltaViewInsertion"/>
          <w:color w:val="auto"/>
          <w:szCs w:val="20"/>
          <w:u w:val="none"/>
          <w:lang w:val="en-GB"/>
        </w:rPr>
        <w:t>H1 2011</w:t>
      </w:r>
      <w:bookmarkStart w:id="152" w:name="_DV_M177"/>
      <w:bookmarkEnd w:id="151"/>
      <w:bookmarkEnd w:id="152"/>
      <w:r w:rsidRPr="00227C94">
        <w:rPr>
          <w:color w:val="auto"/>
          <w:szCs w:val="20"/>
          <w:lang w:val="en-GB"/>
        </w:rPr>
        <w:t xml:space="preserve"> at </w:t>
      </w:r>
      <w:r w:rsidR="00244E4B" w:rsidRPr="00227C94">
        <w:rPr>
          <w:color w:val="auto"/>
          <w:szCs w:val="20"/>
          <w:lang w:val="en-GB"/>
        </w:rPr>
        <w:t xml:space="preserve">the </w:t>
      </w:r>
      <w:r w:rsidRPr="00227C94">
        <w:rPr>
          <w:color w:val="auto"/>
          <w:szCs w:val="20"/>
          <w:lang w:val="en-GB"/>
        </w:rPr>
        <w:t>Titimukhta and Kuranakh mines</w:t>
      </w:r>
      <w:r w:rsidR="00244E4B" w:rsidRPr="00227C94">
        <w:rPr>
          <w:color w:val="auto"/>
          <w:szCs w:val="20"/>
          <w:lang w:val="en-GB"/>
        </w:rPr>
        <w:t>)</w:t>
      </w:r>
      <w:r w:rsidRPr="00227C94">
        <w:rPr>
          <w:color w:val="auto"/>
          <w:szCs w:val="20"/>
          <w:lang w:val="en-GB"/>
        </w:rPr>
        <w:t xml:space="preserve">. </w:t>
      </w:r>
      <w:r w:rsidRPr="00227C94">
        <w:rPr>
          <w:color w:val="auto"/>
          <w:szCs w:val="20"/>
          <w:lang w:val="en-US"/>
        </w:rPr>
        <w:t>As a result, deferred stripping</w:t>
      </w:r>
      <w:r w:rsidR="003C73B2" w:rsidRPr="00227C94">
        <w:rPr>
          <w:color w:val="auto"/>
          <w:szCs w:val="20"/>
          <w:lang w:val="en-US"/>
        </w:rPr>
        <w:t xml:space="preserve"> costs in the net amount of USD</w:t>
      </w:r>
      <w:r w:rsidRPr="00227C94">
        <w:rPr>
          <w:color w:val="auto"/>
          <w:szCs w:val="20"/>
          <w:lang w:val="en-US"/>
        </w:rPr>
        <w:t>17</w:t>
      </w:r>
      <w:proofErr w:type="gramStart"/>
      <w:r w:rsidRPr="00227C94">
        <w:rPr>
          <w:color w:val="auto"/>
          <w:szCs w:val="20"/>
          <w:lang w:val="en-US"/>
        </w:rPr>
        <w:t>,136</w:t>
      </w:r>
      <w:proofErr w:type="gramEnd"/>
      <w:r w:rsidRPr="00227C94">
        <w:rPr>
          <w:color w:val="auto"/>
          <w:szCs w:val="20"/>
          <w:lang w:val="en-US"/>
        </w:rPr>
        <w:t xml:space="preserve"> thousand were charged to operating costs</w:t>
      </w:r>
    </w:p>
    <w:p w:rsidR="00916675" w:rsidRPr="00227C94" w:rsidRDefault="00916675" w:rsidP="00821069">
      <w:pPr>
        <w:pStyle w:val="23"/>
        <w:rPr>
          <w:color w:val="auto"/>
          <w:lang w:val="en-US"/>
        </w:rPr>
      </w:pPr>
    </w:p>
    <w:p w:rsidR="00916675" w:rsidRPr="00227C94" w:rsidRDefault="00E369E4" w:rsidP="00821069">
      <w:pPr>
        <w:pStyle w:val="41"/>
        <w:rPr>
          <w:lang w:val="en-US"/>
        </w:rPr>
      </w:pPr>
      <w:bookmarkStart w:id="153" w:name="_DV_M178"/>
      <w:bookmarkEnd w:id="153"/>
      <w:r w:rsidRPr="00227C94">
        <w:rPr>
          <w:lang w:val="en-US"/>
        </w:rPr>
        <w:t xml:space="preserve">Increase </w:t>
      </w:r>
      <w:r w:rsidR="00916675" w:rsidRPr="00227C94">
        <w:rPr>
          <w:lang w:val="en-US"/>
        </w:rPr>
        <w:t>in gold-in-process and refined gold</w:t>
      </w:r>
    </w:p>
    <w:p w:rsidR="00821069" w:rsidRPr="00227C94" w:rsidRDefault="00821069" w:rsidP="00821069">
      <w:pPr>
        <w:pStyle w:val="23"/>
        <w:rPr>
          <w:color w:val="auto"/>
          <w:lang w:val="en-US"/>
        </w:rPr>
      </w:pPr>
    </w:p>
    <w:p w:rsidR="00916675" w:rsidRPr="00227C94" w:rsidRDefault="00916675" w:rsidP="00821069">
      <w:pPr>
        <w:pStyle w:val="23"/>
        <w:rPr>
          <w:color w:val="auto"/>
          <w:lang w:val="en-US"/>
        </w:rPr>
      </w:pPr>
      <w:bookmarkStart w:id="154" w:name="_DV_M179"/>
      <w:bookmarkEnd w:id="154"/>
      <w:r w:rsidRPr="00227C94">
        <w:rPr>
          <w:color w:val="auto"/>
          <w:lang w:val="en-US"/>
        </w:rPr>
        <w:t>In the first six months of 2012 total metal inventories increased from 1,130 thousand ounces at the beginning of the reporting period to 1,658 thousand ounces as at 30 June 2012. This was mainly related to the increase in ore stocks, including long-term ore stocks, at the Krasnoyarsk business unit, which contained 1,386 thousand ounces of gold, as compared to 867 thousand ounces at the beginning of the reporting period. Dore gold remaining at the Krasnoyarsk business unit which was not refined in the reporting period also increased from 21 thousand ounces as at 31 December 2011 to 42 thousand ounces as at 30 June 2012</w:t>
      </w:r>
      <w:bookmarkStart w:id="155" w:name="_DV_M180"/>
      <w:bookmarkEnd w:id="155"/>
      <w:r w:rsidRPr="00227C94">
        <w:rPr>
          <w:color w:val="auto"/>
          <w:lang w:val="en-US"/>
        </w:rPr>
        <w:t xml:space="preserve">. </w:t>
      </w:r>
      <w:proofErr w:type="gramStart"/>
      <w:r w:rsidRPr="00227C94">
        <w:rPr>
          <w:color w:val="auto"/>
          <w:lang w:val="en-US"/>
        </w:rPr>
        <w:t xml:space="preserve">Work-in-process at </w:t>
      </w:r>
      <w:r w:rsidR="00D2640B" w:rsidRPr="00227C94">
        <w:rPr>
          <w:color w:val="auto"/>
          <w:lang w:val="en-US"/>
        </w:rPr>
        <w:t xml:space="preserve">the Olimpiada mine decreased by </w:t>
      </w:r>
      <w:r w:rsidR="00821069" w:rsidRPr="00227C94">
        <w:rPr>
          <w:color w:val="auto"/>
          <w:lang w:val="en-US"/>
        </w:rPr>
        <w:br/>
      </w:r>
      <w:r w:rsidRPr="00227C94">
        <w:rPr>
          <w:color w:val="auto"/>
          <w:lang w:val="en-US"/>
        </w:rPr>
        <w:t>26 thousand ounces following the improvement of the technological cycle.</w:t>
      </w:r>
      <w:proofErr w:type="gramEnd"/>
    </w:p>
    <w:p w:rsidR="00821069" w:rsidRPr="00227C94" w:rsidRDefault="00821069" w:rsidP="00821069">
      <w:pPr>
        <w:pStyle w:val="23"/>
        <w:rPr>
          <w:color w:val="auto"/>
          <w:lang w:val="en-US"/>
        </w:rPr>
      </w:pPr>
    </w:p>
    <w:p w:rsidR="00821069" w:rsidRPr="00227C94" w:rsidRDefault="00916675" w:rsidP="00244E4B">
      <w:pPr>
        <w:pStyle w:val="23"/>
        <w:rPr>
          <w:color w:val="auto"/>
          <w:spacing w:val="-2"/>
          <w:lang w:val="en-US"/>
        </w:rPr>
      </w:pPr>
      <w:r w:rsidRPr="00227C94">
        <w:rPr>
          <w:color w:val="auto"/>
          <w:lang w:val="en-US"/>
        </w:rPr>
        <w:t>The various types of metal inventories</w:t>
      </w:r>
      <w:r w:rsidR="00B84D2D" w:rsidRPr="00227C94">
        <w:rPr>
          <w:color w:val="auto"/>
          <w:lang w:val="en-US"/>
        </w:rPr>
        <w:t xml:space="preserve"> are</w:t>
      </w:r>
      <w:r w:rsidRPr="00227C94">
        <w:rPr>
          <w:color w:val="auto"/>
          <w:lang w:val="en-US"/>
        </w:rPr>
        <w:t xml:space="preserve"> valued using different approaches. </w:t>
      </w:r>
      <w:r w:rsidRPr="00227C94">
        <w:rPr>
          <w:color w:val="auto"/>
          <w:spacing w:val="-2"/>
          <w:lang w:val="en-US"/>
        </w:rPr>
        <w:t xml:space="preserve">Refined metals are valued at the average cost of production </w:t>
      </w:r>
      <w:r w:rsidRPr="00227C94">
        <w:rPr>
          <w:color w:val="auto"/>
          <w:lang w:val="en-US"/>
        </w:rPr>
        <w:t xml:space="preserve">per saleable unit of metal. Work-in-process, metal concentrate and </w:t>
      </w:r>
      <w:r w:rsidR="0054138A" w:rsidRPr="00227C94">
        <w:rPr>
          <w:color w:val="auto"/>
          <w:lang w:val="en-US"/>
        </w:rPr>
        <w:t>D</w:t>
      </w:r>
      <w:r w:rsidRPr="00227C94">
        <w:rPr>
          <w:color w:val="auto"/>
          <w:lang w:val="en-US"/>
        </w:rPr>
        <w:t>or</w:t>
      </w:r>
      <w:r w:rsidR="00B84D2D" w:rsidRPr="00227C94">
        <w:rPr>
          <w:color w:val="auto"/>
          <w:lang w:val="en-US"/>
        </w:rPr>
        <w:t>e</w:t>
      </w:r>
      <w:r w:rsidRPr="00227C94">
        <w:rPr>
          <w:color w:val="auto"/>
          <w:lang w:val="en-US"/>
        </w:rPr>
        <w:t xml:space="preserve"> are valued at the average </w:t>
      </w:r>
      <w:r w:rsidRPr="00227C94">
        <w:rPr>
          <w:color w:val="auto"/>
          <w:spacing w:val="-2"/>
          <w:lang w:val="en-US"/>
        </w:rPr>
        <w:t>production costs at the relevant stage of production. Ore stockpiles are valued at the average cost per tonne of mining ore. On the whole, m</w:t>
      </w:r>
      <w:r w:rsidRPr="00227C94">
        <w:rPr>
          <w:color w:val="auto"/>
          <w:lang w:val="en-US"/>
        </w:rPr>
        <w:t xml:space="preserve">etal inventories are </w:t>
      </w:r>
      <w:r w:rsidRPr="00227C94">
        <w:rPr>
          <w:color w:val="auto"/>
          <w:spacing w:val="-2"/>
          <w:lang w:val="en-US"/>
        </w:rPr>
        <w:t xml:space="preserve">stated at the </w:t>
      </w:r>
      <w:r w:rsidRPr="00227C94">
        <w:rPr>
          <w:color w:val="auto"/>
          <w:spacing w:val="-5"/>
          <w:lang w:val="en-US"/>
        </w:rPr>
        <w:t xml:space="preserve">lower of production cost or net realisable value. Production cost is determined as the sum of the applicable expenses incurred directly or indirectly in bringing inventories to their existing condition and location. The highest valued inventories – finished goods at refinery plant – significantly decreased from 17 thousand ounces as at 31 December 2011 to just </w:t>
      </w:r>
      <w:r w:rsidR="005E47D3" w:rsidRPr="00227C94">
        <w:rPr>
          <w:color w:val="auto"/>
          <w:spacing w:val="-5"/>
          <w:lang w:val="en-US"/>
        </w:rPr>
        <w:t>1,000</w:t>
      </w:r>
      <w:r w:rsidRPr="00227C94">
        <w:rPr>
          <w:color w:val="auto"/>
          <w:spacing w:val="-5"/>
          <w:lang w:val="en-US"/>
        </w:rPr>
        <w:t xml:space="preserve"> ounces at the end of the reporting period. The table </w:t>
      </w:r>
      <w:r w:rsidRPr="00227C94">
        <w:rPr>
          <w:color w:val="auto"/>
          <w:spacing w:val="-2"/>
          <w:lang w:val="en-US"/>
        </w:rPr>
        <w:t>below shows the balance of inventories for the Group’s Russian subsidiaries in the first 6 months 2012:</w:t>
      </w: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821069" w:rsidRPr="00227C94" w:rsidTr="00A701F4">
        <w:trPr>
          <w:cantSplit/>
        </w:trPr>
        <w:tc>
          <w:tcPr>
            <w:tcW w:w="4118" w:type="dxa"/>
            <w:tcBorders>
              <w:top w:val="nil"/>
              <w:left w:val="nil"/>
              <w:bottom w:val="nil"/>
              <w:right w:val="nil"/>
            </w:tcBorders>
            <w:vAlign w:val="bottom"/>
          </w:tcPr>
          <w:p w:rsidR="00821069" w:rsidRPr="00227C94" w:rsidRDefault="00E369E4" w:rsidP="00926E49">
            <w:pPr>
              <w:pStyle w:val="tblHeaderText"/>
              <w:pageBreakBefore/>
              <w:jc w:val="left"/>
            </w:pPr>
            <w:r w:rsidRPr="00227C94">
              <w:rPr>
                <w:lang w:val="en-GB"/>
              </w:rPr>
              <w:lastRenderedPageBreak/>
              <w:t>Thousand</w:t>
            </w:r>
            <w:r w:rsidRPr="00227C94">
              <w:t xml:space="preserve"> </w:t>
            </w:r>
            <w:r w:rsidR="00821069" w:rsidRPr="00227C94">
              <w:t>ounces</w:t>
            </w:r>
          </w:p>
        </w:tc>
        <w:tc>
          <w:tcPr>
            <w:tcW w:w="1417" w:type="dxa"/>
            <w:tcBorders>
              <w:top w:val="nil"/>
              <w:left w:val="nil"/>
              <w:bottom w:val="single" w:sz="6" w:space="0" w:color="auto"/>
              <w:right w:val="nil"/>
            </w:tcBorders>
            <w:shd w:val="clear" w:color="auto" w:fill="auto"/>
            <w:vAlign w:val="bottom"/>
          </w:tcPr>
          <w:p w:rsidR="0054138A" w:rsidRPr="00227C94" w:rsidRDefault="00821069" w:rsidP="00821069">
            <w:pPr>
              <w:pStyle w:val="tblHeaderText"/>
              <w:rPr>
                <w:lang w:val="en-US"/>
              </w:rPr>
            </w:pPr>
            <w:r w:rsidRPr="00227C94">
              <w:t xml:space="preserve">As at </w:t>
            </w:r>
            <w:r w:rsidRPr="00227C94">
              <w:rPr>
                <w:lang w:val="en-US"/>
              </w:rPr>
              <w:br/>
            </w:r>
            <w:r w:rsidRPr="00227C94">
              <w:t xml:space="preserve">30 June </w:t>
            </w:r>
          </w:p>
          <w:p w:rsidR="00821069" w:rsidRPr="00227C94" w:rsidRDefault="00821069" w:rsidP="00821069">
            <w:pPr>
              <w:pStyle w:val="tblHeaderText"/>
            </w:pPr>
            <w:r w:rsidRPr="00227C94">
              <w:t>2012</w:t>
            </w:r>
          </w:p>
        </w:tc>
        <w:tc>
          <w:tcPr>
            <w:tcW w:w="283" w:type="dxa"/>
            <w:tcBorders>
              <w:top w:val="nil"/>
              <w:left w:val="nil"/>
              <w:bottom w:val="nil"/>
              <w:right w:val="nil"/>
            </w:tcBorders>
          </w:tcPr>
          <w:p w:rsidR="00821069" w:rsidRPr="00227C94" w:rsidRDefault="00821069" w:rsidP="00821069">
            <w:pPr>
              <w:pStyle w:val="tblHeaderText"/>
            </w:pPr>
          </w:p>
        </w:tc>
        <w:tc>
          <w:tcPr>
            <w:tcW w:w="1417" w:type="dxa"/>
            <w:tcBorders>
              <w:top w:val="nil"/>
              <w:left w:val="nil"/>
              <w:bottom w:val="single" w:sz="6" w:space="0" w:color="auto"/>
              <w:right w:val="nil"/>
            </w:tcBorders>
            <w:shd w:val="clear" w:color="auto" w:fill="auto"/>
            <w:vAlign w:val="bottom"/>
          </w:tcPr>
          <w:p w:rsidR="00821069" w:rsidRPr="00227C94" w:rsidRDefault="00821069" w:rsidP="00821069">
            <w:pPr>
              <w:pStyle w:val="tblHeaderText"/>
            </w:pPr>
            <w:r w:rsidRPr="00227C94">
              <w:t xml:space="preserve">As at </w:t>
            </w:r>
            <w:r w:rsidRPr="00227C94">
              <w:rPr>
                <w:lang w:val="en-US"/>
              </w:rPr>
              <w:br/>
            </w:r>
            <w:r w:rsidRPr="00227C94">
              <w:t>31 December 2011</w:t>
            </w:r>
          </w:p>
        </w:tc>
        <w:tc>
          <w:tcPr>
            <w:tcW w:w="283" w:type="dxa"/>
            <w:tcBorders>
              <w:top w:val="nil"/>
              <w:left w:val="nil"/>
              <w:bottom w:val="nil"/>
              <w:right w:val="nil"/>
            </w:tcBorders>
          </w:tcPr>
          <w:p w:rsidR="00821069" w:rsidRPr="00227C94" w:rsidRDefault="00821069" w:rsidP="00821069">
            <w:pPr>
              <w:pStyle w:val="tblHeaderText"/>
            </w:pPr>
          </w:p>
        </w:tc>
        <w:tc>
          <w:tcPr>
            <w:tcW w:w="1417" w:type="dxa"/>
            <w:tcBorders>
              <w:top w:val="nil"/>
              <w:left w:val="nil"/>
              <w:bottom w:val="single" w:sz="6" w:space="0" w:color="auto"/>
              <w:right w:val="nil"/>
            </w:tcBorders>
            <w:shd w:val="clear" w:color="auto" w:fill="auto"/>
            <w:vAlign w:val="bottom"/>
          </w:tcPr>
          <w:p w:rsidR="0054138A" w:rsidRPr="00227C94" w:rsidRDefault="00821069" w:rsidP="00821069">
            <w:pPr>
              <w:pStyle w:val="tblHeaderText"/>
              <w:rPr>
                <w:lang w:val="en-US"/>
              </w:rPr>
            </w:pPr>
            <w:r w:rsidRPr="00227C94">
              <w:t xml:space="preserve">% </w:t>
            </w:r>
          </w:p>
          <w:p w:rsidR="0054138A" w:rsidRPr="00227C94" w:rsidRDefault="00821069" w:rsidP="00821069">
            <w:pPr>
              <w:pStyle w:val="tblHeaderText"/>
              <w:rPr>
                <w:lang w:val="en-US"/>
              </w:rPr>
            </w:pPr>
            <w:r w:rsidRPr="00227C94">
              <w:t xml:space="preserve">change </w:t>
            </w:r>
          </w:p>
          <w:p w:rsidR="00821069" w:rsidRPr="00227C94" w:rsidRDefault="00821069" w:rsidP="00821069">
            <w:pPr>
              <w:pStyle w:val="tblHeaderText"/>
            </w:pPr>
            <w:r w:rsidRPr="00227C94">
              <w:t>p-o-p</w:t>
            </w:r>
          </w:p>
        </w:tc>
      </w:tr>
      <w:tr w:rsidR="00821069" w:rsidRPr="00227C94" w:rsidTr="00A701F4">
        <w:trPr>
          <w:cantSplit/>
        </w:trPr>
        <w:tc>
          <w:tcPr>
            <w:tcW w:w="4118" w:type="dxa"/>
            <w:tcBorders>
              <w:top w:val="nil"/>
              <w:left w:val="nil"/>
              <w:bottom w:val="nil"/>
              <w:right w:val="nil"/>
            </w:tcBorders>
            <w:vAlign w:val="bottom"/>
          </w:tcPr>
          <w:p w:rsidR="00821069" w:rsidRPr="00227C94" w:rsidRDefault="00821069" w:rsidP="00821069">
            <w:pPr>
              <w:pStyle w:val="tblHeaderText"/>
              <w:jc w:val="left"/>
            </w:pPr>
          </w:p>
        </w:tc>
        <w:tc>
          <w:tcPr>
            <w:tcW w:w="1417" w:type="dxa"/>
            <w:tcBorders>
              <w:top w:val="single" w:sz="6" w:space="0" w:color="auto"/>
              <w:left w:val="nil"/>
              <w:bottom w:val="nil"/>
              <w:right w:val="nil"/>
            </w:tcBorders>
            <w:shd w:val="clear" w:color="auto" w:fill="auto"/>
            <w:vAlign w:val="bottom"/>
          </w:tcPr>
          <w:p w:rsidR="00821069" w:rsidRPr="00227C94" w:rsidRDefault="00821069" w:rsidP="00821069">
            <w:pPr>
              <w:pStyle w:val="tblHeaderText"/>
            </w:pPr>
          </w:p>
        </w:tc>
        <w:tc>
          <w:tcPr>
            <w:tcW w:w="283" w:type="dxa"/>
            <w:tcBorders>
              <w:top w:val="nil"/>
              <w:left w:val="nil"/>
              <w:bottom w:val="nil"/>
              <w:right w:val="nil"/>
            </w:tcBorders>
          </w:tcPr>
          <w:p w:rsidR="00821069" w:rsidRPr="00227C94" w:rsidRDefault="00821069" w:rsidP="00821069">
            <w:pPr>
              <w:pStyle w:val="tblHeaderText"/>
            </w:pPr>
          </w:p>
        </w:tc>
        <w:tc>
          <w:tcPr>
            <w:tcW w:w="1417" w:type="dxa"/>
            <w:tcBorders>
              <w:top w:val="single" w:sz="6" w:space="0" w:color="auto"/>
              <w:left w:val="nil"/>
              <w:bottom w:val="nil"/>
              <w:right w:val="nil"/>
            </w:tcBorders>
            <w:shd w:val="clear" w:color="auto" w:fill="auto"/>
            <w:vAlign w:val="bottom"/>
          </w:tcPr>
          <w:p w:rsidR="00821069" w:rsidRPr="00227C94" w:rsidRDefault="00821069" w:rsidP="00821069">
            <w:pPr>
              <w:pStyle w:val="tblHeaderText"/>
            </w:pPr>
          </w:p>
        </w:tc>
        <w:tc>
          <w:tcPr>
            <w:tcW w:w="283" w:type="dxa"/>
            <w:tcBorders>
              <w:top w:val="nil"/>
              <w:left w:val="nil"/>
              <w:bottom w:val="nil"/>
              <w:right w:val="nil"/>
            </w:tcBorders>
          </w:tcPr>
          <w:p w:rsidR="00821069" w:rsidRPr="00227C94" w:rsidRDefault="00821069" w:rsidP="00821069">
            <w:pPr>
              <w:pStyle w:val="tblHeaderText"/>
            </w:pPr>
          </w:p>
        </w:tc>
        <w:tc>
          <w:tcPr>
            <w:tcW w:w="1417" w:type="dxa"/>
            <w:tcBorders>
              <w:top w:val="single" w:sz="6" w:space="0" w:color="auto"/>
              <w:left w:val="nil"/>
              <w:bottom w:val="nil"/>
              <w:right w:val="nil"/>
            </w:tcBorders>
            <w:shd w:val="clear" w:color="auto" w:fill="auto"/>
            <w:vAlign w:val="bottom"/>
          </w:tcPr>
          <w:p w:rsidR="00821069" w:rsidRPr="00227C94" w:rsidRDefault="00821069" w:rsidP="00821069">
            <w:pPr>
              <w:pStyle w:val="tblHeaderText"/>
            </w:pPr>
          </w:p>
        </w:tc>
      </w:tr>
      <w:tr w:rsidR="00821069" w:rsidRPr="00227C94" w:rsidTr="00821069">
        <w:trPr>
          <w:cantSplit/>
        </w:trPr>
        <w:tc>
          <w:tcPr>
            <w:tcW w:w="4118" w:type="dxa"/>
            <w:tcBorders>
              <w:top w:val="nil"/>
              <w:left w:val="nil"/>
              <w:bottom w:val="nil"/>
              <w:right w:val="nil"/>
            </w:tcBorders>
            <w:vAlign w:val="bottom"/>
          </w:tcPr>
          <w:p w:rsidR="00821069" w:rsidRPr="00227C94" w:rsidRDefault="00821069" w:rsidP="00821069">
            <w:pPr>
              <w:pStyle w:val="tblText02"/>
            </w:pPr>
            <w:r w:rsidRPr="00227C94">
              <w:t>Gold contained in</w:t>
            </w:r>
          </w:p>
        </w:tc>
        <w:tc>
          <w:tcPr>
            <w:tcW w:w="1417" w:type="dxa"/>
            <w:tcBorders>
              <w:top w:val="nil"/>
              <w:left w:val="nil"/>
              <w:bottom w:val="nil"/>
              <w:right w:val="nil"/>
            </w:tcBorders>
            <w:vAlign w:val="bottom"/>
          </w:tcPr>
          <w:p w:rsidR="00821069" w:rsidRPr="00227C94" w:rsidRDefault="00821069" w:rsidP="00821069">
            <w:pPr>
              <w:pStyle w:val="tblNumber01"/>
            </w:pPr>
          </w:p>
        </w:tc>
        <w:tc>
          <w:tcPr>
            <w:tcW w:w="28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1"/>
            </w:pPr>
          </w:p>
        </w:tc>
        <w:tc>
          <w:tcPr>
            <w:tcW w:w="28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1"/>
            </w:pPr>
          </w:p>
        </w:tc>
      </w:tr>
      <w:tr w:rsidR="00821069" w:rsidRPr="00227C94" w:rsidTr="00821069">
        <w:trPr>
          <w:cantSplit/>
        </w:trPr>
        <w:tc>
          <w:tcPr>
            <w:tcW w:w="4118" w:type="dxa"/>
            <w:tcBorders>
              <w:top w:val="nil"/>
              <w:left w:val="nil"/>
              <w:bottom w:val="nil"/>
              <w:right w:val="nil"/>
            </w:tcBorders>
            <w:vAlign w:val="bottom"/>
          </w:tcPr>
          <w:p w:rsidR="00821069" w:rsidRPr="00227C94" w:rsidRDefault="0037722B" w:rsidP="00821069">
            <w:pPr>
              <w:pStyle w:val="tblText05"/>
              <w:rPr>
                <w:lang w:val="en-GB"/>
              </w:rPr>
            </w:pPr>
            <w:r w:rsidRPr="00227C94">
              <w:rPr>
                <w:lang w:val="en-GB"/>
              </w:rPr>
              <w:t>Ore (short-term and long-term)</w:t>
            </w:r>
          </w:p>
        </w:tc>
        <w:tc>
          <w:tcPr>
            <w:tcW w:w="1417" w:type="dxa"/>
            <w:tcBorders>
              <w:top w:val="nil"/>
              <w:left w:val="nil"/>
              <w:bottom w:val="nil"/>
              <w:right w:val="nil"/>
            </w:tcBorders>
            <w:vAlign w:val="bottom"/>
          </w:tcPr>
          <w:p w:rsidR="00821069" w:rsidRPr="00227C94" w:rsidRDefault="00821069" w:rsidP="00821069">
            <w:pPr>
              <w:pStyle w:val="tblNumber01"/>
            </w:pPr>
            <w:r w:rsidRPr="00227C94">
              <w:t>1,386</w:t>
            </w:r>
          </w:p>
        </w:tc>
        <w:tc>
          <w:tcPr>
            <w:tcW w:w="28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1"/>
            </w:pPr>
            <w:r w:rsidRPr="00227C94">
              <w:t>867</w:t>
            </w:r>
          </w:p>
        </w:tc>
        <w:tc>
          <w:tcPr>
            <w:tcW w:w="28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1"/>
            </w:pPr>
            <w:r w:rsidRPr="00227C94">
              <w:t>60</w:t>
            </w:r>
          </w:p>
        </w:tc>
      </w:tr>
      <w:tr w:rsidR="00821069" w:rsidRPr="00227C94" w:rsidTr="00821069">
        <w:trPr>
          <w:cantSplit/>
        </w:trPr>
        <w:tc>
          <w:tcPr>
            <w:tcW w:w="4118" w:type="dxa"/>
            <w:tcBorders>
              <w:top w:val="nil"/>
              <w:left w:val="nil"/>
              <w:bottom w:val="nil"/>
              <w:right w:val="nil"/>
            </w:tcBorders>
            <w:vAlign w:val="bottom"/>
          </w:tcPr>
          <w:p w:rsidR="00821069" w:rsidRPr="00227C94" w:rsidRDefault="00821069" w:rsidP="00821069">
            <w:pPr>
              <w:pStyle w:val="tblText05"/>
            </w:pPr>
            <w:r w:rsidRPr="00227C94">
              <w:t>Gold-in-circuit</w:t>
            </w:r>
          </w:p>
        </w:tc>
        <w:tc>
          <w:tcPr>
            <w:tcW w:w="1417" w:type="dxa"/>
            <w:tcBorders>
              <w:top w:val="nil"/>
              <w:left w:val="nil"/>
              <w:bottom w:val="nil"/>
              <w:right w:val="nil"/>
            </w:tcBorders>
            <w:vAlign w:val="bottom"/>
          </w:tcPr>
          <w:p w:rsidR="00821069" w:rsidRPr="00227C94" w:rsidRDefault="00821069" w:rsidP="00821069">
            <w:pPr>
              <w:pStyle w:val="tblNumber01"/>
            </w:pPr>
            <w:r w:rsidRPr="00227C94">
              <w:t>213</w:t>
            </w:r>
          </w:p>
        </w:tc>
        <w:tc>
          <w:tcPr>
            <w:tcW w:w="28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1"/>
            </w:pPr>
            <w:r w:rsidRPr="00227C94">
              <w:t>216</w:t>
            </w:r>
          </w:p>
        </w:tc>
        <w:tc>
          <w:tcPr>
            <w:tcW w:w="28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0"/>
            </w:pPr>
            <w:r w:rsidRPr="00227C94">
              <w:t>(1)</w:t>
            </w:r>
          </w:p>
        </w:tc>
      </w:tr>
      <w:tr w:rsidR="00821069" w:rsidRPr="00227C94" w:rsidTr="00821069">
        <w:trPr>
          <w:cantSplit/>
        </w:trPr>
        <w:tc>
          <w:tcPr>
            <w:tcW w:w="4118" w:type="dxa"/>
            <w:tcBorders>
              <w:top w:val="nil"/>
              <w:left w:val="nil"/>
              <w:bottom w:val="nil"/>
              <w:right w:val="nil"/>
            </w:tcBorders>
            <w:vAlign w:val="bottom"/>
          </w:tcPr>
          <w:p w:rsidR="00821069" w:rsidRPr="00227C94" w:rsidRDefault="00821069" w:rsidP="00821069">
            <w:pPr>
              <w:pStyle w:val="tblText05"/>
            </w:pPr>
            <w:r w:rsidRPr="00227C94">
              <w:t>Dore gold on mine</w:t>
            </w:r>
          </w:p>
        </w:tc>
        <w:tc>
          <w:tcPr>
            <w:tcW w:w="1417" w:type="dxa"/>
            <w:tcBorders>
              <w:top w:val="nil"/>
              <w:left w:val="nil"/>
              <w:bottom w:val="nil"/>
              <w:right w:val="nil"/>
            </w:tcBorders>
            <w:vAlign w:val="bottom"/>
          </w:tcPr>
          <w:p w:rsidR="00821069" w:rsidRPr="00227C94" w:rsidRDefault="00821069" w:rsidP="00821069">
            <w:pPr>
              <w:pStyle w:val="tblNumber01"/>
            </w:pPr>
            <w:r w:rsidRPr="00227C94">
              <w:t>45</w:t>
            </w:r>
          </w:p>
        </w:tc>
        <w:tc>
          <w:tcPr>
            <w:tcW w:w="28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1"/>
            </w:pPr>
            <w:r w:rsidRPr="00227C94">
              <w:t>27</w:t>
            </w:r>
          </w:p>
        </w:tc>
        <w:tc>
          <w:tcPr>
            <w:tcW w:w="28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1"/>
            </w:pPr>
            <w:r w:rsidRPr="00227C94">
              <w:t>67</w:t>
            </w:r>
          </w:p>
        </w:tc>
      </w:tr>
      <w:tr w:rsidR="00821069" w:rsidRPr="00227C94" w:rsidTr="00A701F4">
        <w:trPr>
          <w:cantSplit/>
        </w:trPr>
        <w:tc>
          <w:tcPr>
            <w:tcW w:w="4118" w:type="dxa"/>
            <w:tcBorders>
              <w:top w:val="nil"/>
              <w:left w:val="nil"/>
              <w:bottom w:val="nil"/>
              <w:right w:val="nil"/>
            </w:tcBorders>
            <w:vAlign w:val="bottom"/>
          </w:tcPr>
          <w:p w:rsidR="00821069" w:rsidRPr="00227C94" w:rsidRDefault="00821069" w:rsidP="00821069">
            <w:pPr>
              <w:pStyle w:val="tblText05"/>
            </w:pPr>
            <w:r w:rsidRPr="00227C94">
              <w:t>Dore gold at refinery</w:t>
            </w:r>
          </w:p>
        </w:tc>
        <w:tc>
          <w:tcPr>
            <w:tcW w:w="1417" w:type="dxa"/>
            <w:tcBorders>
              <w:top w:val="nil"/>
              <w:left w:val="nil"/>
              <w:right w:val="nil"/>
            </w:tcBorders>
            <w:vAlign w:val="bottom"/>
          </w:tcPr>
          <w:p w:rsidR="00821069" w:rsidRPr="00227C94" w:rsidRDefault="00821069" w:rsidP="00821069">
            <w:pPr>
              <w:pStyle w:val="tblNumber01"/>
            </w:pPr>
            <w:r w:rsidRPr="00227C94">
              <w:t>12</w:t>
            </w:r>
          </w:p>
        </w:tc>
        <w:tc>
          <w:tcPr>
            <w:tcW w:w="28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right w:val="nil"/>
            </w:tcBorders>
            <w:vAlign w:val="bottom"/>
          </w:tcPr>
          <w:p w:rsidR="00821069" w:rsidRPr="00227C94" w:rsidRDefault="00821069" w:rsidP="00821069">
            <w:pPr>
              <w:pStyle w:val="tblNumber01"/>
            </w:pPr>
            <w:r w:rsidRPr="00227C94">
              <w:t>2</w:t>
            </w:r>
          </w:p>
        </w:tc>
        <w:tc>
          <w:tcPr>
            <w:tcW w:w="28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right w:val="nil"/>
            </w:tcBorders>
            <w:vAlign w:val="bottom"/>
          </w:tcPr>
          <w:p w:rsidR="00821069" w:rsidRPr="00227C94" w:rsidRDefault="00821069" w:rsidP="00821069">
            <w:pPr>
              <w:pStyle w:val="tblNumber01"/>
            </w:pPr>
            <w:r w:rsidRPr="00227C94">
              <w:t>486</w:t>
            </w:r>
          </w:p>
        </w:tc>
      </w:tr>
      <w:tr w:rsidR="00821069" w:rsidRPr="00227C94" w:rsidTr="00A701F4">
        <w:trPr>
          <w:cantSplit/>
        </w:trPr>
        <w:tc>
          <w:tcPr>
            <w:tcW w:w="4118" w:type="dxa"/>
            <w:tcBorders>
              <w:top w:val="nil"/>
              <w:left w:val="nil"/>
              <w:bottom w:val="nil"/>
              <w:right w:val="nil"/>
            </w:tcBorders>
            <w:vAlign w:val="bottom"/>
          </w:tcPr>
          <w:p w:rsidR="00821069" w:rsidRPr="00227C94" w:rsidRDefault="00821069" w:rsidP="00821069">
            <w:pPr>
              <w:pStyle w:val="tblText05"/>
            </w:pPr>
            <w:r w:rsidRPr="00227C94">
              <w:t>Finished goods at refinery</w:t>
            </w:r>
          </w:p>
        </w:tc>
        <w:tc>
          <w:tcPr>
            <w:tcW w:w="1417" w:type="dxa"/>
            <w:tcBorders>
              <w:top w:val="nil"/>
              <w:left w:val="nil"/>
              <w:bottom w:val="single" w:sz="6" w:space="0" w:color="auto"/>
              <w:right w:val="nil"/>
            </w:tcBorders>
            <w:shd w:val="clear" w:color="auto" w:fill="auto"/>
            <w:vAlign w:val="bottom"/>
          </w:tcPr>
          <w:p w:rsidR="00821069" w:rsidRPr="00227C94" w:rsidRDefault="00821069" w:rsidP="00821069">
            <w:pPr>
              <w:pStyle w:val="tblNumber01"/>
            </w:pPr>
            <w:r w:rsidRPr="00227C94">
              <w:t>1</w:t>
            </w:r>
          </w:p>
        </w:tc>
        <w:tc>
          <w:tcPr>
            <w:tcW w:w="28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single" w:sz="6" w:space="0" w:color="auto"/>
              <w:right w:val="nil"/>
            </w:tcBorders>
            <w:shd w:val="clear" w:color="auto" w:fill="auto"/>
            <w:vAlign w:val="bottom"/>
          </w:tcPr>
          <w:p w:rsidR="00821069" w:rsidRPr="00227C94" w:rsidRDefault="00821069" w:rsidP="00821069">
            <w:pPr>
              <w:pStyle w:val="tblNumber01"/>
            </w:pPr>
            <w:r w:rsidRPr="00227C94">
              <w:t>17</w:t>
            </w:r>
          </w:p>
        </w:tc>
        <w:tc>
          <w:tcPr>
            <w:tcW w:w="28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single" w:sz="6" w:space="0" w:color="auto"/>
              <w:right w:val="nil"/>
            </w:tcBorders>
            <w:shd w:val="clear" w:color="auto" w:fill="auto"/>
            <w:vAlign w:val="bottom"/>
          </w:tcPr>
          <w:p w:rsidR="00821069" w:rsidRPr="00227C94" w:rsidRDefault="00821069" w:rsidP="00821069">
            <w:pPr>
              <w:pStyle w:val="tblNumber00"/>
            </w:pPr>
            <w:r w:rsidRPr="00227C94">
              <w:t>(94)</w:t>
            </w:r>
          </w:p>
        </w:tc>
      </w:tr>
      <w:tr w:rsidR="00821069" w:rsidRPr="00227C94" w:rsidTr="00A701F4">
        <w:trPr>
          <w:cantSplit/>
        </w:trPr>
        <w:tc>
          <w:tcPr>
            <w:tcW w:w="4118" w:type="dxa"/>
            <w:tcBorders>
              <w:top w:val="nil"/>
              <w:left w:val="nil"/>
              <w:bottom w:val="nil"/>
              <w:right w:val="nil"/>
            </w:tcBorders>
            <w:vAlign w:val="bottom"/>
          </w:tcPr>
          <w:p w:rsidR="00821069" w:rsidRPr="00227C94" w:rsidRDefault="00821069" w:rsidP="00821069">
            <w:pPr>
              <w:pStyle w:val="tblText05"/>
            </w:pPr>
          </w:p>
        </w:tc>
        <w:tc>
          <w:tcPr>
            <w:tcW w:w="1417" w:type="dxa"/>
            <w:tcBorders>
              <w:top w:val="single" w:sz="6" w:space="0" w:color="auto"/>
              <w:left w:val="nil"/>
              <w:right w:val="nil"/>
            </w:tcBorders>
            <w:shd w:val="clear" w:color="auto" w:fill="auto"/>
            <w:vAlign w:val="bottom"/>
          </w:tcPr>
          <w:p w:rsidR="00821069" w:rsidRPr="00227C94" w:rsidRDefault="00821069" w:rsidP="00821069">
            <w:pPr>
              <w:pStyle w:val="tblNumber01"/>
            </w:pPr>
          </w:p>
        </w:tc>
        <w:tc>
          <w:tcPr>
            <w:tcW w:w="28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single" w:sz="6" w:space="0" w:color="auto"/>
              <w:left w:val="nil"/>
              <w:right w:val="nil"/>
            </w:tcBorders>
            <w:shd w:val="clear" w:color="auto" w:fill="auto"/>
            <w:vAlign w:val="bottom"/>
          </w:tcPr>
          <w:p w:rsidR="00821069" w:rsidRPr="00227C94" w:rsidRDefault="00821069" w:rsidP="00821069">
            <w:pPr>
              <w:pStyle w:val="tblNumber01"/>
            </w:pPr>
          </w:p>
        </w:tc>
        <w:tc>
          <w:tcPr>
            <w:tcW w:w="28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single" w:sz="6" w:space="0" w:color="auto"/>
              <w:left w:val="nil"/>
              <w:right w:val="nil"/>
            </w:tcBorders>
            <w:shd w:val="clear" w:color="auto" w:fill="auto"/>
            <w:vAlign w:val="bottom"/>
          </w:tcPr>
          <w:p w:rsidR="00821069" w:rsidRPr="00227C94" w:rsidRDefault="00821069" w:rsidP="00821069">
            <w:pPr>
              <w:pStyle w:val="tblNumber00"/>
            </w:pPr>
          </w:p>
        </w:tc>
      </w:tr>
      <w:tr w:rsidR="00821069" w:rsidRPr="00227C94" w:rsidTr="00821069">
        <w:trPr>
          <w:cantSplit/>
        </w:trPr>
        <w:tc>
          <w:tcPr>
            <w:tcW w:w="4118" w:type="dxa"/>
            <w:tcBorders>
              <w:top w:val="nil"/>
              <w:left w:val="nil"/>
              <w:bottom w:val="nil"/>
              <w:right w:val="nil"/>
            </w:tcBorders>
            <w:vAlign w:val="bottom"/>
          </w:tcPr>
          <w:p w:rsidR="00821069" w:rsidRPr="00227C94" w:rsidRDefault="00821069" w:rsidP="00821069">
            <w:pPr>
              <w:pStyle w:val="tblText02"/>
              <w:rPr>
                <w:b/>
              </w:rPr>
            </w:pPr>
            <w:r w:rsidRPr="00227C94">
              <w:rPr>
                <w:b/>
              </w:rPr>
              <w:t>Total</w:t>
            </w:r>
          </w:p>
        </w:tc>
        <w:tc>
          <w:tcPr>
            <w:tcW w:w="1417" w:type="dxa"/>
            <w:tcBorders>
              <w:top w:val="nil"/>
              <w:left w:val="nil"/>
              <w:bottom w:val="double" w:sz="6" w:space="0" w:color="auto"/>
              <w:right w:val="nil"/>
            </w:tcBorders>
            <w:shd w:val="clear" w:color="auto" w:fill="auto"/>
            <w:vAlign w:val="bottom"/>
          </w:tcPr>
          <w:p w:rsidR="00821069" w:rsidRPr="00227C94" w:rsidRDefault="00821069" w:rsidP="00821069">
            <w:pPr>
              <w:pStyle w:val="tblNumber01"/>
              <w:rPr>
                <w:b/>
              </w:rPr>
            </w:pPr>
            <w:r w:rsidRPr="00227C94">
              <w:rPr>
                <w:b/>
              </w:rPr>
              <w:t>1,658</w:t>
            </w:r>
          </w:p>
        </w:tc>
        <w:tc>
          <w:tcPr>
            <w:tcW w:w="28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double" w:sz="6" w:space="0" w:color="auto"/>
              <w:right w:val="nil"/>
            </w:tcBorders>
            <w:shd w:val="clear" w:color="auto" w:fill="auto"/>
            <w:vAlign w:val="bottom"/>
          </w:tcPr>
          <w:p w:rsidR="00821069" w:rsidRPr="00227C94" w:rsidRDefault="00821069" w:rsidP="00821069">
            <w:pPr>
              <w:pStyle w:val="tblNumber01"/>
              <w:rPr>
                <w:b/>
              </w:rPr>
            </w:pPr>
            <w:r w:rsidRPr="00227C94">
              <w:rPr>
                <w:b/>
              </w:rPr>
              <w:t>1,130</w:t>
            </w:r>
          </w:p>
        </w:tc>
        <w:tc>
          <w:tcPr>
            <w:tcW w:w="28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double" w:sz="6" w:space="0" w:color="auto"/>
              <w:right w:val="nil"/>
            </w:tcBorders>
            <w:shd w:val="clear" w:color="auto" w:fill="auto"/>
            <w:vAlign w:val="bottom"/>
          </w:tcPr>
          <w:p w:rsidR="00821069" w:rsidRPr="00227C94" w:rsidRDefault="00821069" w:rsidP="00821069">
            <w:pPr>
              <w:pStyle w:val="tblNumber01"/>
              <w:rPr>
                <w:b/>
              </w:rPr>
            </w:pPr>
            <w:r w:rsidRPr="00227C94">
              <w:rPr>
                <w:b/>
              </w:rPr>
              <w:t>47</w:t>
            </w:r>
          </w:p>
        </w:tc>
      </w:tr>
    </w:tbl>
    <w:p w:rsidR="00821069" w:rsidRPr="00227C94" w:rsidRDefault="00821069" w:rsidP="00821069">
      <w:pPr>
        <w:pStyle w:val="23"/>
        <w:rPr>
          <w:color w:val="auto"/>
          <w:lang w:val="en-US"/>
        </w:rPr>
      </w:pPr>
    </w:p>
    <w:p w:rsidR="00821069" w:rsidRPr="00227C94" w:rsidRDefault="00821069" w:rsidP="00821069">
      <w:pPr>
        <w:pStyle w:val="23"/>
        <w:rPr>
          <w:color w:val="auto"/>
          <w:lang w:val="en-US"/>
        </w:rPr>
      </w:pPr>
    </w:p>
    <w:p w:rsidR="00916675" w:rsidRPr="00227C94" w:rsidRDefault="00916675" w:rsidP="00821069">
      <w:pPr>
        <w:pStyle w:val="23"/>
        <w:rPr>
          <w:color w:val="auto"/>
          <w:lang w:val="en-US"/>
        </w:rPr>
      </w:pPr>
      <w:r w:rsidRPr="00227C94">
        <w:rPr>
          <w:color w:val="auto"/>
          <w:lang w:val="en-US"/>
        </w:rPr>
        <w:t>The value of inventories at Kazakhstan mines also increased. Total gold-in-process of USD74</w:t>
      </w:r>
      <w:proofErr w:type="gramStart"/>
      <w:r w:rsidRPr="00227C94">
        <w:rPr>
          <w:color w:val="auto"/>
          <w:lang w:val="en-US"/>
        </w:rPr>
        <w:t>,278</w:t>
      </w:r>
      <w:proofErr w:type="gramEnd"/>
      <w:r w:rsidRPr="00227C94">
        <w:rPr>
          <w:color w:val="auto"/>
          <w:lang w:val="en-US"/>
        </w:rPr>
        <w:t xml:space="preserve"> thousand was recorded within inventory from cost of </w:t>
      </w:r>
      <w:r w:rsidR="00E369E4" w:rsidRPr="00227C94">
        <w:rPr>
          <w:color w:val="auto"/>
          <w:lang w:val="en-US"/>
        </w:rPr>
        <w:t>production</w:t>
      </w:r>
      <w:r w:rsidRPr="00227C94">
        <w:rPr>
          <w:color w:val="auto"/>
          <w:lang w:val="en-US"/>
        </w:rPr>
        <w:t xml:space="preserve"> in the first half of 2012 (USD78,138 thousand in H1 2011).</w:t>
      </w:r>
    </w:p>
    <w:p w:rsidR="00821069" w:rsidRPr="00227C94" w:rsidRDefault="00821069" w:rsidP="00821069">
      <w:pPr>
        <w:pStyle w:val="23"/>
        <w:rPr>
          <w:color w:val="auto"/>
          <w:lang w:val="en-US"/>
        </w:rPr>
      </w:pPr>
    </w:p>
    <w:p w:rsidR="00916675" w:rsidRPr="00227C94" w:rsidRDefault="00916675" w:rsidP="00821069">
      <w:pPr>
        <w:pStyle w:val="31"/>
        <w:rPr>
          <w:b w:val="0"/>
          <w:lang w:val="en-US"/>
        </w:rPr>
      </w:pPr>
      <w:r w:rsidRPr="00227C94">
        <w:rPr>
          <w:b w:val="0"/>
        </w:rPr>
        <w:t>Cost of other sales</w:t>
      </w:r>
    </w:p>
    <w:p w:rsidR="00821069" w:rsidRPr="00227C94" w:rsidRDefault="00821069" w:rsidP="00821069">
      <w:pPr>
        <w:pStyle w:val="23"/>
        <w:rPr>
          <w:color w:val="auto"/>
          <w:lang w:val="en-US"/>
        </w:rPr>
      </w:pPr>
    </w:p>
    <w:p w:rsidR="00916675" w:rsidRPr="00227C94" w:rsidRDefault="00916675" w:rsidP="00821069">
      <w:pPr>
        <w:pStyle w:val="23"/>
        <w:rPr>
          <w:color w:val="auto"/>
          <w:lang w:val="en-US"/>
        </w:rPr>
      </w:pPr>
      <w:r w:rsidRPr="00227C94">
        <w:rPr>
          <w:color w:val="auto"/>
          <w:spacing w:val="-2"/>
          <w:lang w:val="en-US"/>
        </w:rPr>
        <w:t xml:space="preserve">Cost of other sales includes, in addition to electricity costs, payroll costs related to non-mining activities, </w:t>
      </w:r>
      <w:r w:rsidRPr="00227C94">
        <w:rPr>
          <w:color w:val="auto"/>
          <w:lang w:val="en-US"/>
        </w:rPr>
        <w:t xml:space="preserve">expenses on materials and fuel, </w:t>
      </w:r>
      <w:bookmarkStart w:id="156" w:name="_DV_C167"/>
      <w:r w:rsidRPr="00227C94">
        <w:rPr>
          <w:color w:val="auto"/>
          <w:lang w:val="en-US"/>
        </w:rPr>
        <w:t>and depreciation</w:t>
      </w:r>
      <w:bookmarkEnd w:id="156"/>
      <w:r w:rsidRPr="00227C94">
        <w:rPr>
          <w:color w:val="auto"/>
          <w:lang w:val="en-US"/>
        </w:rPr>
        <w:t xml:space="preserve">. In </w:t>
      </w:r>
      <w:bookmarkStart w:id="157" w:name="_DV_C169"/>
      <w:r w:rsidRPr="00227C94">
        <w:rPr>
          <w:color w:val="auto"/>
          <w:lang w:val="en-US"/>
        </w:rPr>
        <w:t>H1 2012,</w:t>
      </w:r>
      <w:bookmarkStart w:id="158" w:name="_DV_M250"/>
      <w:bookmarkEnd w:id="157"/>
      <w:bookmarkEnd w:id="158"/>
      <w:r w:rsidRPr="00227C94">
        <w:rPr>
          <w:color w:val="auto"/>
          <w:lang w:val="en-US"/>
        </w:rPr>
        <w:t xml:space="preserve"> cost of other sales amounted to USD21</w:t>
      </w:r>
      <w:proofErr w:type="gramStart"/>
      <w:r w:rsidRPr="00227C94">
        <w:rPr>
          <w:color w:val="auto"/>
          <w:lang w:val="en-US"/>
        </w:rPr>
        <w:t>,232</w:t>
      </w:r>
      <w:proofErr w:type="gramEnd"/>
      <w:r w:rsidRPr="00227C94">
        <w:rPr>
          <w:color w:val="auto"/>
          <w:lang w:val="en-US"/>
        </w:rPr>
        <w:t xml:space="preserve"> thousand. In the first half of 2012 revenue from other sales </w:t>
      </w:r>
      <w:bookmarkStart w:id="159" w:name="_DV_C171"/>
      <w:r w:rsidRPr="00227C94">
        <w:rPr>
          <w:color w:val="auto"/>
          <w:lang w:val="en-US"/>
        </w:rPr>
        <w:t>exceeded the</w:t>
      </w:r>
      <w:bookmarkStart w:id="160" w:name="_DV_M251"/>
      <w:bookmarkEnd w:id="159"/>
      <w:bookmarkEnd w:id="160"/>
      <w:r w:rsidRPr="00227C94">
        <w:rPr>
          <w:color w:val="auto"/>
          <w:lang w:val="en-US"/>
        </w:rPr>
        <w:t>ir cost of sales, which resulted in a gross profit from other sales in the amount of USD7</w:t>
      </w:r>
      <w:proofErr w:type="gramStart"/>
      <w:r w:rsidRPr="00227C94">
        <w:rPr>
          <w:color w:val="auto"/>
          <w:lang w:val="en-US"/>
        </w:rPr>
        <w:t>,822</w:t>
      </w:r>
      <w:proofErr w:type="gramEnd"/>
      <w:r w:rsidRPr="00227C94">
        <w:rPr>
          <w:color w:val="auto"/>
          <w:lang w:val="en-US"/>
        </w:rPr>
        <w:t xml:space="preserve"> thousand, compared to USD5,784 thousand in the same period of </w:t>
      </w:r>
      <w:bookmarkStart w:id="161" w:name="_DV_C173"/>
      <w:r w:rsidRPr="00227C94">
        <w:rPr>
          <w:color w:val="auto"/>
          <w:lang w:val="en-US"/>
        </w:rPr>
        <w:t>2011.</w:t>
      </w:r>
      <w:bookmarkEnd w:id="161"/>
      <w:r w:rsidRPr="00227C94">
        <w:rPr>
          <w:color w:val="auto"/>
          <w:lang w:val="en-US"/>
        </w:rPr>
        <w:t xml:space="preserve"> </w:t>
      </w:r>
      <w:bookmarkStart w:id="162" w:name="_DV_M252"/>
      <w:bookmarkEnd w:id="162"/>
      <w:r w:rsidRPr="00227C94">
        <w:rPr>
          <w:color w:val="auto"/>
          <w:lang w:val="en-US"/>
        </w:rPr>
        <w:t>Gross profit on other sales margin increased from 20% in the first half of 2011 to 27% in the first half of 2012.</w:t>
      </w:r>
      <w:bookmarkStart w:id="163" w:name="_DV_M181"/>
      <w:bookmarkStart w:id="164" w:name="_Toc303889384"/>
      <w:bookmarkEnd w:id="163"/>
      <w:r w:rsidRPr="00227C94">
        <w:rPr>
          <w:color w:val="auto"/>
          <w:lang w:val="en-US"/>
        </w:rPr>
        <w:t xml:space="preserve"> This was mainly a result of increased profitability of Mamakan HPS, where the cost of generation of 1 Kwt/h decreased by almost 39%.</w:t>
      </w:r>
    </w:p>
    <w:p w:rsidR="00916675" w:rsidRPr="00227C94" w:rsidRDefault="00916675" w:rsidP="00821069">
      <w:pPr>
        <w:pStyle w:val="23"/>
        <w:rPr>
          <w:color w:val="auto"/>
          <w:lang w:val="en-US"/>
        </w:rPr>
      </w:pPr>
    </w:p>
    <w:p w:rsidR="00916675" w:rsidRPr="00227C94" w:rsidRDefault="00916675" w:rsidP="00821069">
      <w:pPr>
        <w:pStyle w:val="22"/>
        <w:rPr>
          <w:lang w:val="en-US"/>
        </w:rPr>
      </w:pPr>
      <w:bookmarkStart w:id="165" w:name="_Toc304205602"/>
      <w:r w:rsidRPr="00227C94">
        <w:t>1.4 Selling, general and administrative expenses</w:t>
      </w:r>
      <w:bookmarkEnd w:id="164"/>
      <w:bookmarkEnd w:id="165"/>
    </w:p>
    <w:p w:rsidR="00821069" w:rsidRPr="00227C94" w:rsidRDefault="00821069" w:rsidP="00821069">
      <w:pPr>
        <w:pStyle w:val="23"/>
        <w:rPr>
          <w:color w:val="auto"/>
          <w:lang w:val="en-US"/>
        </w:rPr>
      </w:pPr>
    </w:p>
    <w:p w:rsidR="00916675" w:rsidRPr="00227C94" w:rsidRDefault="00916675" w:rsidP="00821069">
      <w:pPr>
        <w:pStyle w:val="23"/>
        <w:rPr>
          <w:color w:val="auto"/>
          <w:lang w:val="en-US"/>
        </w:rPr>
      </w:pPr>
      <w:bookmarkStart w:id="166" w:name="_DV_M182"/>
      <w:bookmarkEnd w:id="166"/>
      <w:r w:rsidRPr="00227C94">
        <w:rPr>
          <w:color w:val="auto"/>
          <w:lang w:val="en-US"/>
        </w:rPr>
        <w:t xml:space="preserve">The following table sets forth the selling, general and administrative expenses of the Group for </w:t>
      </w:r>
      <w:r w:rsidR="00821069" w:rsidRPr="00227C94">
        <w:rPr>
          <w:color w:val="auto"/>
          <w:lang w:val="en-US"/>
        </w:rPr>
        <w:br/>
      </w:r>
      <w:r w:rsidRPr="00227C94">
        <w:rPr>
          <w:color w:val="auto"/>
          <w:lang w:val="en-US"/>
        </w:rPr>
        <w:t>the 6 months ended 30 June 2012 and 30 June 2011, and for the year ended 31 December 2011:</w:t>
      </w:r>
    </w:p>
    <w:p w:rsidR="00821069" w:rsidRPr="00227C94" w:rsidRDefault="00821069" w:rsidP="00821069">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2928"/>
        <w:gridCol w:w="1417"/>
        <w:gridCol w:w="113"/>
        <w:gridCol w:w="1417"/>
        <w:gridCol w:w="113"/>
        <w:gridCol w:w="1417"/>
        <w:gridCol w:w="113"/>
        <w:gridCol w:w="1417"/>
      </w:tblGrid>
      <w:tr w:rsidR="00821069" w:rsidRPr="00227C94" w:rsidTr="00A701F4">
        <w:trPr>
          <w:cantSplit/>
        </w:trPr>
        <w:tc>
          <w:tcPr>
            <w:tcW w:w="2928" w:type="dxa"/>
            <w:tcBorders>
              <w:top w:val="nil"/>
              <w:left w:val="nil"/>
              <w:bottom w:val="nil"/>
              <w:right w:val="nil"/>
            </w:tcBorders>
            <w:vAlign w:val="bottom"/>
          </w:tcPr>
          <w:p w:rsidR="00821069" w:rsidRPr="00227C94" w:rsidRDefault="00821069" w:rsidP="00821069">
            <w:pPr>
              <w:pStyle w:val="tblHeaderText"/>
              <w:jc w:val="left"/>
              <w:rPr>
                <w:lang w:val="en-US"/>
              </w:rPr>
            </w:pPr>
          </w:p>
        </w:tc>
        <w:tc>
          <w:tcPr>
            <w:tcW w:w="2947" w:type="dxa"/>
            <w:gridSpan w:val="3"/>
            <w:tcBorders>
              <w:top w:val="nil"/>
              <w:left w:val="nil"/>
              <w:bottom w:val="single" w:sz="6" w:space="0" w:color="auto"/>
              <w:right w:val="nil"/>
            </w:tcBorders>
            <w:shd w:val="clear" w:color="auto" w:fill="auto"/>
            <w:vAlign w:val="bottom"/>
          </w:tcPr>
          <w:p w:rsidR="00821069" w:rsidRPr="00227C94" w:rsidRDefault="00821069" w:rsidP="00821069">
            <w:pPr>
              <w:pStyle w:val="tblHeaderText"/>
            </w:pPr>
            <w:r w:rsidRPr="00227C94">
              <w:t>Six months ended 30 June</w:t>
            </w:r>
          </w:p>
        </w:tc>
        <w:tc>
          <w:tcPr>
            <w:tcW w:w="113" w:type="dxa"/>
            <w:tcBorders>
              <w:top w:val="nil"/>
              <w:left w:val="nil"/>
              <w:bottom w:val="nil"/>
              <w:right w:val="nil"/>
            </w:tcBorders>
          </w:tcPr>
          <w:p w:rsidR="00821069" w:rsidRPr="00227C94" w:rsidRDefault="00821069" w:rsidP="00821069">
            <w:pPr>
              <w:pStyle w:val="tblHeaderText"/>
            </w:pPr>
          </w:p>
        </w:tc>
        <w:tc>
          <w:tcPr>
            <w:tcW w:w="1417" w:type="dxa"/>
            <w:tcBorders>
              <w:top w:val="nil"/>
              <w:left w:val="nil"/>
              <w:right w:val="nil"/>
            </w:tcBorders>
            <w:vAlign w:val="bottom"/>
          </w:tcPr>
          <w:p w:rsidR="0054138A" w:rsidRPr="00227C94" w:rsidRDefault="00821069" w:rsidP="00821069">
            <w:pPr>
              <w:pStyle w:val="tblHeaderText"/>
              <w:rPr>
                <w:lang w:val="en-US"/>
              </w:rPr>
            </w:pPr>
            <w:r w:rsidRPr="00227C94">
              <w:t xml:space="preserve">% </w:t>
            </w:r>
          </w:p>
          <w:p w:rsidR="00821069" w:rsidRPr="00227C94" w:rsidRDefault="00821069" w:rsidP="00821069">
            <w:pPr>
              <w:pStyle w:val="tblHeaderText"/>
            </w:pPr>
            <w:r w:rsidRPr="00227C94">
              <w:t>change</w:t>
            </w:r>
          </w:p>
        </w:tc>
        <w:tc>
          <w:tcPr>
            <w:tcW w:w="113" w:type="dxa"/>
            <w:tcBorders>
              <w:top w:val="nil"/>
              <w:left w:val="nil"/>
              <w:bottom w:val="nil"/>
              <w:right w:val="nil"/>
            </w:tcBorders>
          </w:tcPr>
          <w:p w:rsidR="00821069" w:rsidRPr="00227C94" w:rsidRDefault="00821069" w:rsidP="00821069">
            <w:pPr>
              <w:pStyle w:val="tblHeaderText"/>
            </w:pPr>
          </w:p>
        </w:tc>
        <w:tc>
          <w:tcPr>
            <w:tcW w:w="1417" w:type="dxa"/>
            <w:tcBorders>
              <w:top w:val="nil"/>
              <w:left w:val="nil"/>
              <w:right w:val="nil"/>
            </w:tcBorders>
          </w:tcPr>
          <w:p w:rsidR="00821069" w:rsidRPr="00227C94" w:rsidRDefault="00821069" w:rsidP="00821069">
            <w:pPr>
              <w:pStyle w:val="tblHeaderText"/>
            </w:pPr>
            <w:r w:rsidRPr="00227C94">
              <w:t>Year ended</w:t>
            </w:r>
          </w:p>
          <w:p w:rsidR="00821069" w:rsidRPr="00227C94" w:rsidRDefault="00821069" w:rsidP="00821069">
            <w:pPr>
              <w:pStyle w:val="tblHeaderText"/>
            </w:pPr>
            <w:r w:rsidRPr="00227C94">
              <w:t>31 December</w:t>
            </w:r>
          </w:p>
        </w:tc>
      </w:tr>
      <w:tr w:rsidR="00821069" w:rsidRPr="00227C94" w:rsidTr="00A701F4">
        <w:trPr>
          <w:cantSplit/>
        </w:trPr>
        <w:tc>
          <w:tcPr>
            <w:tcW w:w="2928" w:type="dxa"/>
            <w:tcBorders>
              <w:top w:val="nil"/>
              <w:left w:val="nil"/>
              <w:bottom w:val="nil"/>
              <w:right w:val="nil"/>
            </w:tcBorders>
            <w:vAlign w:val="bottom"/>
          </w:tcPr>
          <w:p w:rsidR="00821069" w:rsidRPr="00227C94" w:rsidRDefault="00821069" w:rsidP="00821069">
            <w:pPr>
              <w:pStyle w:val="tblHeaderText"/>
              <w:jc w:val="left"/>
            </w:pPr>
            <w:r w:rsidRPr="00227C94">
              <w:t>USD‘000</w:t>
            </w:r>
          </w:p>
        </w:tc>
        <w:tc>
          <w:tcPr>
            <w:tcW w:w="1417" w:type="dxa"/>
            <w:tcBorders>
              <w:top w:val="single" w:sz="6" w:space="0" w:color="auto"/>
              <w:left w:val="nil"/>
              <w:bottom w:val="single" w:sz="6" w:space="0" w:color="auto"/>
              <w:right w:val="nil"/>
            </w:tcBorders>
            <w:shd w:val="clear" w:color="auto" w:fill="auto"/>
            <w:vAlign w:val="bottom"/>
          </w:tcPr>
          <w:p w:rsidR="00821069" w:rsidRPr="00227C94" w:rsidRDefault="00821069" w:rsidP="00821069">
            <w:pPr>
              <w:pStyle w:val="tblHeaderText"/>
              <w:rPr>
                <w:lang w:val="en-US"/>
              </w:rPr>
            </w:pPr>
            <w:r w:rsidRPr="00227C94">
              <w:t>2012</w:t>
            </w:r>
          </w:p>
        </w:tc>
        <w:tc>
          <w:tcPr>
            <w:tcW w:w="113" w:type="dxa"/>
            <w:tcBorders>
              <w:top w:val="single" w:sz="6" w:space="0" w:color="auto"/>
              <w:left w:val="nil"/>
              <w:bottom w:val="nil"/>
              <w:right w:val="nil"/>
            </w:tcBorders>
            <w:shd w:val="clear" w:color="auto" w:fill="auto"/>
          </w:tcPr>
          <w:p w:rsidR="00821069" w:rsidRPr="00227C94" w:rsidRDefault="00821069" w:rsidP="00821069">
            <w:pPr>
              <w:pStyle w:val="tblHeaderText"/>
            </w:pPr>
          </w:p>
        </w:tc>
        <w:tc>
          <w:tcPr>
            <w:tcW w:w="1417" w:type="dxa"/>
            <w:tcBorders>
              <w:top w:val="single" w:sz="6" w:space="0" w:color="auto"/>
              <w:left w:val="nil"/>
              <w:bottom w:val="single" w:sz="6" w:space="0" w:color="auto"/>
              <w:right w:val="nil"/>
            </w:tcBorders>
            <w:shd w:val="clear" w:color="auto" w:fill="auto"/>
            <w:vAlign w:val="bottom"/>
          </w:tcPr>
          <w:p w:rsidR="00821069" w:rsidRPr="00227C94" w:rsidRDefault="00821069" w:rsidP="00821069">
            <w:pPr>
              <w:pStyle w:val="tblHeaderText"/>
            </w:pPr>
            <w:r w:rsidRPr="00227C94">
              <w:t>2011</w:t>
            </w:r>
          </w:p>
        </w:tc>
        <w:tc>
          <w:tcPr>
            <w:tcW w:w="113" w:type="dxa"/>
            <w:tcBorders>
              <w:top w:val="nil"/>
              <w:left w:val="nil"/>
              <w:right w:val="nil"/>
            </w:tcBorders>
          </w:tcPr>
          <w:p w:rsidR="00821069" w:rsidRPr="00227C94" w:rsidRDefault="00821069" w:rsidP="00821069">
            <w:pPr>
              <w:pStyle w:val="tblHeaderText"/>
            </w:pPr>
          </w:p>
        </w:tc>
        <w:tc>
          <w:tcPr>
            <w:tcW w:w="1417" w:type="dxa"/>
            <w:tcBorders>
              <w:top w:val="nil"/>
              <w:left w:val="nil"/>
              <w:bottom w:val="single" w:sz="6" w:space="0" w:color="auto"/>
              <w:right w:val="nil"/>
            </w:tcBorders>
            <w:shd w:val="clear" w:color="auto" w:fill="auto"/>
            <w:vAlign w:val="bottom"/>
          </w:tcPr>
          <w:p w:rsidR="00821069" w:rsidRPr="00227C94" w:rsidRDefault="00821069" w:rsidP="00821069">
            <w:pPr>
              <w:pStyle w:val="tblHeaderText"/>
            </w:pPr>
            <w:r w:rsidRPr="00227C94">
              <w:t>p-o-p</w:t>
            </w:r>
          </w:p>
        </w:tc>
        <w:tc>
          <w:tcPr>
            <w:tcW w:w="113" w:type="dxa"/>
            <w:tcBorders>
              <w:top w:val="nil"/>
              <w:left w:val="nil"/>
              <w:right w:val="nil"/>
            </w:tcBorders>
          </w:tcPr>
          <w:p w:rsidR="00821069" w:rsidRPr="00227C94" w:rsidRDefault="00821069" w:rsidP="00821069">
            <w:pPr>
              <w:pStyle w:val="tblHeaderText"/>
            </w:pPr>
          </w:p>
        </w:tc>
        <w:tc>
          <w:tcPr>
            <w:tcW w:w="1417" w:type="dxa"/>
            <w:tcBorders>
              <w:top w:val="nil"/>
              <w:left w:val="nil"/>
              <w:bottom w:val="single" w:sz="6" w:space="0" w:color="auto"/>
              <w:right w:val="nil"/>
            </w:tcBorders>
            <w:shd w:val="clear" w:color="auto" w:fill="auto"/>
          </w:tcPr>
          <w:p w:rsidR="00821069" w:rsidRPr="00227C94" w:rsidRDefault="00821069" w:rsidP="00821069">
            <w:pPr>
              <w:pStyle w:val="tblHeaderText"/>
            </w:pPr>
            <w:r w:rsidRPr="00227C94">
              <w:t>2011</w:t>
            </w:r>
          </w:p>
        </w:tc>
      </w:tr>
      <w:tr w:rsidR="00821069" w:rsidRPr="00227C94" w:rsidTr="00A701F4">
        <w:trPr>
          <w:cantSplit/>
        </w:trPr>
        <w:tc>
          <w:tcPr>
            <w:tcW w:w="2928" w:type="dxa"/>
            <w:tcBorders>
              <w:top w:val="nil"/>
              <w:left w:val="nil"/>
              <w:bottom w:val="nil"/>
              <w:right w:val="nil"/>
            </w:tcBorders>
            <w:vAlign w:val="bottom"/>
          </w:tcPr>
          <w:p w:rsidR="00821069" w:rsidRPr="00227C94" w:rsidRDefault="00821069" w:rsidP="00821069">
            <w:pPr>
              <w:pStyle w:val="tblHeaderText"/>
              <w:jc w:val="left"/>
            </w:pPr>
          </w:p>
        </w:tc>
        <w:tc>
          <w:tcPr>
            <w:tcW w:w="1417" w:type="dxa"/>
            <w:tcBorders>
              <w:top w:val="single" w:sz="6" w:space="0" w:color="auto"/>
              <w:left w:val="nil"/>
              <w:bottom w:val="nil"/>
              <w:right w:val="nil"/>
            </w:tcBorders>
            <w:shd w:val="clear" w:color="auto" w:fill="auto"/>
            <w:vAlign w:val="bottom"/>
          </w:tcPr>
          <w:p w:rsidR="00821069" w:rsidRPr="00227C94" w:rsidRDefault="00821069" w:rsidP="00821069">
            <w:pPr>
              <w:pStyle w:val="tblHeaderText"/>
            </w:pPr>
          </w:p>
        </w:tc>
        <w:tc>
          <w:tcPr>
            <w:tcW w:w="113" w:type="dxa"/>
            <w:tcBorders>
              <w:top w:val="nil"/>
              <w:left w:val="nil"/>
              <w:bottom w:val="nil"/>
              <w:right w:val="nil"/>
            </w:tcBorders>
          </w:tcPr>
          <w:p w:rsidR="00821069" w:rsidRPr="00227C94" w:rsidRDefault="00821069" w:rsidP="00821069">
            <w:pPr>
              <w:pStyle w:val="tblHeaderText"/>
            </w:pPr>
          </w:p>
        </w:tc>
        <w:tc>
          <w:tcPr>
            <w:tcW w:w="1417" w:type="dxa"/>
            <w:tcBorders>
              <w:top w:val="single" w:sz="6" w:space="0" w:color="auto"/>
              <w:left w:val="nil"/>
              <w:bottom w:val="nil"/>
              <w:right w:val="nil"/>
            </w:tcBorders>
            <w:shd w:val="clear" w:color="auto" w:fill="auto"/>
            <w:vAlign w:val="bottom"/>
          </w:tcPr>
          <w:p w:rsidR="00821069" w:rsidRPr="00227C94" w:rsidRDefault="00821069" w:rsidP="00821069">
            <w:pPr>
              <w:pStyle w:val="tblHeaderText"/>
            </w:pPr>
          </w:p>
        </w:tc>
        <w:tc>
          <w:tcPr>
            <w:tcW w:w="113" w:type="dxa"/>
            <w:tcBorders>
              <w:left w:val="nil"/>
              <w:bottom w:val="nil"/>
              <w:right w:val="nil"/>
            </w:tcBorders>
            <w:shd w:val="clear" w:color="auto" w:fill="auto"/>
          </w:tcPr>
          <w:p w:rsidR="00821069" w:rsidRPr="00227C94" w:rsidRDefault="00821069" w:rsidP="00821069">
            <w:pPr>
              <w:pStyle w:val="tblHeaderText"/>
            </w:pPr>
          </w:p>
        </w:tc>
        <w:tc>
          <w:tcPr>
            <w:tcW w:w="1417" w:type="dxa"/>
            <w:tcBorders>
              <w:top w:val="single" w:sz="6" w:space="0" w:color="auto"/>
              <w:left w:val="nil"/>
              <w:bottom w:val="nil"/>
              <w:right w:val="nil"/>
            </w:tcBorders>
            <w:shd w:val="clear" w:color="auto" w:fill="auto"/>
            <w:vAlign w:val="bottom"/>
          </w:tcPr>
          <w:p w:rsidR="00821069" w:rsidRPr="00227C94" w:rsidRDefault="00821069" w:rsidP="00821069">
            <w:pPr>
              <w:pStyle w:val="tblHeaderText"/>
            </w:pPr>
          </w:p>
        </w:tc>
        <w:tc>
          <w:tcPr>
            <w:tcW w:w="113" w:type="dxa"/>
            <w:tcBorders>
              <w:left w:val="nil"/>
              <w:bottom w:val="nil"/>
              <w:right w:val="nil"/>
            </w:tcBorders>
            <w:shd w:val="clear" w:color="auto" w:fill="auto"/>
          </w:tcPr>
          <w:p w:rsidR="00821069" w:rsidRPr="00227C94" w:rsidRDefault="00821069" w:rsidP="00821069">
            <w:pPr>
              <w:pStyle w:val="tblHeaderText"/>
            </w:pPr>
          </w:p>
        </w:tc>
        <w:tc>
          <w:tcPr>
            <w:tcW w:w="1417" w:type="dxa"/>
            <w:tcBorders>
              <w:top w:val="single" w:sz="6" w:space="0" w:color="auto"/>
              <w:left w:val="nil"/>
              <w:bottom w:val="nil"/>
              <w:right w:val="nil"/>
            </w:tcBorders>
            <w:shd w:val="clear" w:color="auto" w:fill="auto"/>
          </w:tcPr>
          <w:p w:rsidR="00821069" w:rsidRPr="00227C94" w:rsidRDefault="00821069" w:rsidP="00821069">
            <w:pPr>
              <w:pStyle w:val="tblHeaderText"/>
            </w:pPr>
          </w:p>
        </w:tc>
      </w:tr>
      <w:tr w:rsidR="00821069" w:rsidRPr="00227C94" w:rsidTr="00821069">
        <w:trPr>
          <w:cantSplit/>
        </w:trPr>
        <w:tc>
          <w:tcPr>
            <w:tcW w:w="2928" w:type="dxa"/>
            <w:tcBorders>
              <w:top w:val="nil"/>
              <w:left w:val="nil"/>
              <w:bottom w:val="nil"/>
              <w:right w:val="nil"/>
            </w:tcBorders>
          </w:tcPr>
          <w:p w:rsidR="00821069" w:rsidRPr="00227C94" w:rsidRDefault="00821069" w:rsidP="00821069">
            <w:pPr>
              <w:pStyle w:val="tblText02"/>
            </w:pPr>
            <w:r w:rsidRPr="00227C94">
              <w:t>Salaries</w:t>
            </w:r>
          </w:p>
        </w:tc>
        <w:tc>
          <w:tcPr>
            <w:tcW w:w="1417" w:type="dxa"/>
            <w:tcBorders>
              <w:top w:val="nil"/>
              <w:left w:val="nil"/>
              <w:bottom w:val="nil"/>
              <w:right w:val="nil"/>
            </w:tcBorders>
            <w:vAlign w:val="bottom"/>
          </w:tcPr>
          <w:p w:rsidR="00821069" w:rsidRPr="00227C94" w:rsidRDefault="00821069" w:rsidP="00821069">
            <w:pPr>
              <w:pStyle w:val="tblNumber01"/>
            </w:pPr>
            <w:r w:rsidRPr="00227C94">
              <w:t>68,586</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1"/>
            </w:pPr>
            <w:r w:rsidRPr="00227C94">
              <w:t>43,591</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1"/>
            </w:pPr>
            <w:r w:rsidRPr="00227C94">
              <w:t>57</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1"/>
            </w:pPr>
            <w:r w:rsidRPr="00227C94">
              <w:t>116,295</w:t>
            </w:r>
          </w:p>
        </w:tc>
      </w:tr>
      <w:tr w:rsidR="00821069" w:rsidRPr="00227C94" w:rsidTr="00821069">
        <w:trPr>
          <w:cantSplit/>
        </w:trPr>
        <w:tc>
          <w:tcPr>
            <w:tcW w:w="2928" w:type="dxa"/>
            <w:tcBorders>
              <w:top w:val="nil"/>
              <w:left w:val="nil"/>
              <w:bottom w:val="nil"/>
              <w:right w:val="nil"/>
            </w:tcBorders>
          </w:tcPr>
          <w:p w:rsidR="00821069" w:rsidRPr="00227C94" w:rsidRDefault="00821069" w:rsidP="00821069">
            <w:pPr>
              <w:pStyle w:val="tblText02"/>
              <w:rPr>
                <w:lang w:val="en-US"/>
              </w:rPr>
            </w:pPr>
            <w:r w:rsidRPr="00227C94">
              <w:rPr>
                <w:lang w:val="en-US"/>
              </w:rPr>
              <w:t>Taxes other than mining and income taxes</w:t>
            </w:r>
          </w:p>
        </w:tc>
        <w:tc>
          <w:tcPr>
            <w:tcW w:w="1417" w:type="dxa"/>
            <w:tcBorders>
              <w:top w:val="nil"/>
              <w:left w:val="nil"/>
              <w:bottom w:val="nil"/>
              <w:right w:val="nil"/>
            </w:tcBorders>
            <w:vAlign w:val="bottom"/>
          </w:tcPr>
          <w:p w:rsidR="00821069" w:rsidRPr="00227C94" w:rsidRDefault="00821069" w:rsidP="00821069">
            <w:pPr>
              <w:pStyle w:val="tblNumber01"/>
            </w:pPr>
            <w:r w:rsidRPr="00227C94">
              <w:t>12,052</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1"/>
            </w:pPr>
            <w:r w:rsidRPr="00227C94">
              <w:t>21,706</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0"/>
            </w:pPr>
            <w:r w:rsidRPr="00227C94">
              <w:t>(44)</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1"/>
            </w:pPr>
            <w:r w:rsidRPr="00227C94">
              <w:t>42,630</w:t>
            </w:r>
          </w:p>
        </w:tc>
      </w:tr>
      <w:tr w:rsidR="00821069" w:rsidRPr="00227C94" w:rsidTr="00821069">
        <w:trPr>
          <w:cantSplit/>
        </w:trPr>
        <w:tc>
          <w:tcPr>
            <w:tcW w:w="2928" w:type="dxa"/>
            <w:tcBorders>
              <w:top w:val="nil"/>
              <w:left w:val="nil"/>
              <w:bottom w:val="nil"/>
              <w:right w:val="nil"/>
            </w:tcBorders>
          </w:tcPr>
          <w:p w:rsidR="00821069" w:rsidRPr="00227C94" w:rsidRDefault="00821069" w:rsidP="00821069">
            <w:pPr>
              <w:pStyle w:val="tblText02"/>
            </w:pPr>
            <w:r w:rsidRPr="00227C94">
              <w:t>Professional services</w:t>
            </w:r>
          </w:p>
        </w:tc>
        <w:tc>
          <w:tcPr>
            <w:tcW w:w="1417" w:type="dxa"/>
            <w:tcBorders>
              <w:top w:val="nil"/>
              <w:left w:val="nil"/>
              <w:bottom w:val="nil"/>
              <w:right w:val="nil"/>
            </w:tcBorders>
            <w:vAlign w:val="bottom"/>
          </w:tcPr>
          <w:p w:rsidR="00821069" w:rsidRPr="00227C94" w:rsidRDefault="00821069" w:rsidP="00821069">
            <w:pPr>
              <w:pStyle w:val="tblNumber01"/>
            </w:pPr>
            <w:r w:rsidRPr="00227C94">
              <w:t>15,429</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1"/>
            </w:pPr>
            <w:r w:rsidRPr="00227C94">
              <w:t>14,214</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1"/>
            </w:pPr>
            <w:r w:rsidRPr="00227C94">
              <w:t>9</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nil"/>
              <w:right w:val="nil"/>
            </w:tcBorders>
            <w:vAlign w:val="bottom"/>
          </w:tcPr>
          <w:p w:rsidR="00821069" w:rsidRPr="00227C94" w:rsidRDefault="00821069" w:rsidP="00821069">
            <w:pPr>
              <w:pStyle w:val="tblNumber01"/>
            </w:pPr>
            <w:r w:rsidRPr="00227C94">
              <w:t>36,350</w:t>
            </w:r>
          </w:p>
        </w:tc>
      </w:tr>
      <w:tr w:rsidR="00821069" w:rsidRPr="00227C94" w:rsidTr="00A701F4">
        <w:trPr>
          <w:cantSplit/>
        </w:trPr>
        <w:tc>
          <w:tcPr>
            <w:tcW w:w="2928" w:type="dxa"/>
            <w:tcBorders>
              <w:top w:val="nil"/>
              <w:left w:val="nil"/>
              <w:bottom w:val="nil"/>
              <w:right w:val="nil"/>
            </w:tcBorders>
          </w:tcPr>
          <w:p w:rsidR="00821069" w:rsidRPr="00227C94" w:rsidRDefault="00821069" w:rsidP="00821069">
            <w:pPr>
              <w:pStyle w:val="tblText02"/>
            </w:pPr>
            <w:r w:rsidRPr="00227C94">
              <w:t>Administrative overheads</w:t>
            </w:r>
          </w:p>
        </w:tc>
        <w:tc>
          <w:tcPr>
            <w:tcW w:w="1417" w:type="dxa"/>
            <w:tcBorders>
              <w:top w:val="nil"/>
              <w:left w:val="nil"/>
              <w:right w:val="nil"/>
            </w:tcBorders>
            <w:vAlign w:val="bottom"/>
          </w:tcPr>
          <w:p w:rsidR="00821069" w:rsidRPr="00227C94" w:rsidRDefault="00821069" w:rsidP="00821069">
            <w:pPr>
              <w:pStyle w:val="tblNumber01"/>
            </w:pPr>
            <w:r w:rsidRPr="00227C94">
              <w:t>12,024</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right w:val="nil"/>
            </w:tcBorders>
            <w:vAlign w:val="bottom"/>
          </w:tcPr>
          <w:p w:rsidR="00821069" w:rsidRPr="00227C94" w:rsidRDefault="00821069" w:rsidP="00821069">
            <w:pPr>
              <w:pStyle w:val="tblNumber01"/>
            </w:pPr>
            <w:r w:rsidRPr="00227C94">
              <w:t>11,371</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right w:val="nil"/>
            </w:tcBorders>
            <w:vAlign w:val="bottom"/>
          </w:tcPr>
          <w:p w:rsidR="00821069" w:rsidRPr="00227C94" w:rsidRDefault="00821069" w:rsidP="00821069">
            <w:pPr>
              <w:pStyle w:val="tblNumber01"/>
            </w:pPr>
            <w:r w:rsidRPr="00227C94">
              <w:t>6</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right w:val="nil"/>
            </w:tcBorders>
            <w:vAlign w:val="bottom"/>
          </w:tcPr>
          <w:p w:rsidR="00821069" w:rsidRPr="00227C94" w:rsidRDefault="00821069" w:rsidP="00821069">
            <w:pPr>
              <w:pStyle w:val="tblNumber01"/>
            </w:pPr>
            <w:r w:rsidRPr="00227C94">
              <w:t>25,513</w:t>
            </w:r>
          </w:p>
        </w:tc>
      </w:tr>
      <w:tr w:rsidR="00821069" w:rsidRPr="00227C94" w:rsidTr="00A701F4">
        <w:trPr>
          <w:cantSplit/>
        </w:trPr>
        <w:tc>
          <w:tcPr>
            <w:tcW w:w="2928" w:type="dxa"/>
            <w:tcBorders>
              <w:top w:val="nil"/>
              <w:left w:val="nil"/>
              <w:bottom w:val="nil"/>
              <w:right w:val="nil"/>
            </w:tcBorders>
          </w:tcPr>
          <w:p w:rsidR="00821069" w:rsidRPr="00227C94" w:rsidRDefault="00821069" w:rsidP="00821069">
            <w:pPr>
              <w:pStyle w:val="tblText02"/>
            </w:pPr>
            <w:r w:rsidRPr="00227C94">
              <w:t>Depreciation</w:t>
            </w:r>
          </w:p>
        </w:tc>
        <w:tc>
          <w:tcPr>
            <w:tcW w:w="1417" w:type="dxa"/>
            <w:tcBorders>
              <w:top w:val="nil"/>
              <w:left w:val="nil"/>
              <w:bottom w:val="single" w:sz="6" w:space="0" w:color="auto"/>
              <w:right w:val="nil"/>
            </w:tcBorders>
            <w:shd w:val="clear" w:color="auto" w:fill="auto"/>
            <w:vAlign w:val="bottom"/>
          </w:tcPr>
          <w:p w:rsidR="00821069" w:rsidRPr="00227C94" w:rsidRDefault="00821069" w:rsidP="00821069">
            <w:pPr>
              <w:pStyle w:val="tblNumber01"/>
            </w:pPr>
            <w:r w:rsidRPr="00227C94">
              <w:t>2,149</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single" w:sz="6" w:space="0" w:color="auto"/>
              <w:right w:val="nil"/>
            </w:tcBorders>
            <w:shd w:val="clear" w:color="auto" w:fill="auto"/>
            <w:vAlign w:val="bottom"/>
          </w:tcPr>
          <w:p w:rsidR="00821069" w:rsidRPr="00227C94" w:rsidRDefault="00821069" w:rsidP="00821069">
            <w:pPr>
              <w:pStyle w:val="tblNumber01"/>
            </w:pPr>
            <w:r w:rsidRPr="00227C94">
              <w:t>2,580</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single" w:sz="6" w:space="0" w:color="auto"/>
              <w:right w:val="nil"/>
            </w:tcBorders>
            <w:shd w:val="clear" w:color="auto" w:fill="auto"/>
            <w:vAlign w:val="bottom"/>
          </w:tcPr>
          <w:p w:rsidR="00821069" w:rsidRPr="00227C94" w:rsidRDefault="00821069" w:rsidP="00821069">
            <w:pPr>
              <w:pStyle w:val="tblNumber00"/>
            </w:pPr>
            <w:r w:rsidRPr="00227C94">
              <w:t>(17)</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single" w:sz="6" w:space="0" w:color="auto"/>
              <w:right w:val="nil"/>
            </w:tcBorders>
            <w:shd w:val="clear" w:color="auto" w:fill="auto"/>
            <w:vAlign w:val="bottom"/>
          </w:tcPr>
          <w:p w:rsidR="00821069" w:rsidRPr="00227C94" w:rsidRDefault="00821069" w:rsidP="00821069">
            <w:pPr>
              <w:pStyle w:val="tblNumber01"/>
            </w:pPr>
            <w:r w:rsidRPr="00227C94">
              <w:t>4,830</w:t>
            </w:r>
          </w:p>
        </w:tc>
      </w:tr>
      <w:tr w:rsidR="00821069" w:rsidRPr="00227C94" w:rsidTr="00A701F4">
        <w:trPr>
          <w:cantSplit/>
        </w:trPr>
        <w:tc>
          <w:tcPr>
            <w:tcW w:w="2928" w:type="dxa"/>
            <w:tcBorders>
              <w:top w:val="nil"/>
              <w:left w:val="nil"/>
              <w:bottom w:val="nil"/>
              <w:right w:val="nil"/>
            </w:tcBorders>
          </w:tcPr>
          <w:p w:rsidR="00821069" w:rsidRPr="00227C94" w:rsidRDefault="00821069" w:rsidP="00821069">
            <w:pPr>
              <w:pStyle w:val="tblText02"/>
            </w:pPr>
          </w:p>
        </w:tc>
        <w:tc>
          <w:tcPr>
            <w:tcW w:w="1417" w:type="dxa"/>
            <w:tcBorders>
              <w:top w:val="single" w:sz="6" w:space="0" w:color="auto"/>
              <w:left w:val="nil"/>
              <w:right w:val="nil"/>
            </w:tcBorders>
            <w:shd w:val="clear" w:color="auto" w:fill="auto"/>
            <w:vAlign w:val="bottom"/>
          </w:tcPr>
          <w:p w:rsidR="00821069" w:rsidRPr="00227C94" w:rsidRDefault="00821069" w:rsidP="00821069">
            <w:pPr>
              <w:pStyle w:val="tblNumber01"/>
            </w:pP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single" w:sz="6" w:space="0" w:color="auto"/>
              <w:left w:val="nil"/>
              <w:right w:val="nil"/>
            </w:tcBorders>
            <w:shd w:val="clear" w:color="auto" w:fill="auto"/>
            <w:vAlign w:val="bottom"/>
          </w:tcPr>
          <w:p w:rsidR="00821069" w:rsidRPr="00227C94" w:rsidRDefault="00821069" w:rsidP="00821069">
            <w:pPr>
              <w:pStyle w:val="tblNumber01"/>
            </w:pP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single" w:sz="6" w:space="0" w:color="auto"/>
              <w:left w:val="nil"/>
              <w:right w:val="nil"/>
            </w:tcBorders>
            <w:shd w:val="clear" w:color="auto" w:fill="auto"/>
            <w:vAlign w:val="bottom"/>
          </w:tcPr>
          <w:p w:rsidR="00821069" w:rsidRPr="00227C94" w:rsidRDefault="00821069" w:rsidP="00821069">
            <w:pPr>
              <w:pStyle w:val="tblNumber00"/>
            </w:pP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single" w:sz="6" w:space="0" w:color="auto"/>
              <w:left w:val="nil"/>
              <w:right w:val="nil"/>
            </w:tcBorders>
            <w:shd w:val="clear" w:color="auto" w:fill="auto"/>
            <w:vAlign w:val="bottom"/>
          </w:tcPr>
          <w:p w:rsidR="00821069" w:rsidRPr="00227C94" w:rsidRDefault="00821069" w:rsidP="00821069">
            <w:pPr>
              <w:pStyle w:val="tblNumber01"/>
            </w:pPr>
          </w:p>
        </w:tc>
      </w:tr>
      <w:tr w:rsidR="00821069" w:rsidRPr="00227C94" w:rsidTr="00926E49">
        <w:trPr>
          <w:cantSplit/>
        </w:trPr>
        <w:tc>
          <w:tcPr>
            <w:tcW w:w="2928" w:type="dxa"/>
            <w:tcBorders>
              <w:top w:val="nil"/>
              <w:left w:val="nil"/>
              <w:bottom w:val="nil"/>
              <w:right w:val="nil"/>
            </w:tcBorders>
          </w:tcPr>
          <w:p w:rsidR="00821069" w:rsidRPr="00227C94" w:rsidRDefault="00821069" w:rsidP="00821069">
            <w:pPr>
              <w:pStyle w:val="tblText02"/>
              <w:rPr>
                <w:b/>
              </w:rPr>
            </w:pPr>
            <w:r w:rsidRPr="00227C94">
              <w:rPr>
                <w:b/>
              </w:rPr>
              <w:t>Total</w:t>
            </w:r>
          </w:p>
        </w:tc>
        <w:tc>
          <w:tcPr>
            <w:tcW w:w="1417" w:type="dxa"/>
            <w:tcBorders>
              <w:top w:val="nil"/>
              <w:left w:val="nil"/>
              <w:bottom w:val="double" w:sz="6" w:space="0" w:color="auto"/>
              <w:right w:val="nil"/>
            </w:tcBorders>
            <w:shd w:val="clear" w:color="auto" w:fill="auto"/>
            <w:vAlign w:val="bottom"/>
          </w:tcPr>
          <w:p w:rsidR="00821069" w:rsidRPr="00227C94" w:rsidRDefault="00821069" w:rsidP="00821069">
            <w:pPr>
              <w:pStyle w:val="tblNumber01"/>
              <w:rPr>
                <w:b/>
              </w:rPr>
            </w:pPr>
            <w:r w:rsidRPr="00227C94">
              <w:rPr>
                <w:b/>
              </w:rPr>
              <w:t>110,240</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double" w:sz="6" w:space="0" w:color="auto"/>
              <w:right w:val="nil"/>
            </w:tcBorders>
            <w:shd w:val="clear" w:color="auto" w:fill="auto"/>
            <w:vAlign w:val="bottom"/>
          </w:tcPr>
          <w:p w:rsidR="00821069" w:rsidRPr="00227C94" w:rsidRDefault="00821069" w:rsidP="00821069">
            <w:pPr>
              <w:pStyle w:val="tblNumber01"/>
              <w:rPr>
                <w:b/>
              </w:rPr>
            </w:pPr>
            <w:r w:rsidRPr="00227C94">
              <w:rPr>
                <w:b/>
              </w:rPr>
              <w:t>93,462</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double" w:sz="6" w:space="0" w:color="auto"/>
              <w:right w:val="nil"/>
            </w:tcBorders>
            <w:shd w:val="clear" w:color="auto" w:fill="auto"/>
            <w:vAlign w:val="bottom"/>
          </w:tcPr>
          <w:p w:rsidR="00821069" w:rsidRPr="00227C94" w:rsidRDefault="00821069" w:rsidP="00821069">
            <w:pPr>
              <w:pStyle w:val="tblNumber01"/>
              <w:rPr>
                <w:b/>
              </w:rPr>
            </w:pPr>
            <w:r w:rsidRPr="00227C94">
              <w:rPr>
                <w:b/>
              </w:rPr>
              <w:t>18</w:t>
            </w:r>
          </w:p>
        </w:tc>
        <w:tc>
          <w:tcPr>
            <w:tcW w:w="113" w:type="dxa"/>
            <w:tcBorders>
              <w:top w:val="nil"/>
              <w:left w:val="nil"/>
              <w:bottom w:val="nil"/>
              <w:right w:val="nil"/>
            </w:tcBorders>
            <w:vAlign w:val="bottom"/>
          </w:tcPr>
          <w:p w:rsidR="00821069" w:rsidRPr="00227C94" w:rsidRDefault="00821069" w:rsidP="00821069">
            <w:pPr>
              <w:pStyle w:val="tblNumber01"/>
            </w:pPr>
          </w:p>
        </w:tc>
        <w:tc>
          <w:tcPr>
            <w:tcW w:w="1417" w:type="dxa"/>
            <w:tcBorders>
              <w:top w:val="nil"/>
              <w:left w:val="nil"/>
              <w:bottom w:val="double" w:sz="6" w:space="0" w:color="auto"/>
              <w:right w:val="nil"/>
            </w:tcBorders>
            <w:shd w:val="clear" w:color="auto" w:fill="auto"/>
            <w:vAlign w:val="bottom"/>
          </w:tcPr>
          <w:p w:rsidR="00821069" w:rsidRPr="00227C94" w:rsidRDefault="00821069" w:rsidP="00821069">
            <w:pPr>
              <w:pStyle w:val="tblNumber01"/>
              <w:rPr>
                <w:b/>
              </w:rPr>
            </w:pPr>
            <w:r w:rsidRPr="00227C94">
              <w:rPr>
                <w:b/>
              </w:rPr>
              <w:t>225,618</w:t>
            </w:r>
          </w:p>
        </w:tc>
      </w:tr>
    </w:tbl>
    <w:p w:rsidR="00916675" w:rsidRPr="00227C94" w:rsidRDefault="00916675" w:rsidP="00926E49">
      <w:pPr>
        <w:pStyle w:val="23"/>
        <w:rPr>
          <w:color w:val="auto"/>
        </w:rPr>
      </w:pPr>
    </w:p>
    <w:p w:rsidR="00916675" w:rsidRPr="00227C94" w:rsidRDefault="00916675" w:rsidP="00926E49">
      <w:pPr>
        <w:pStyle w:val="23"/>
        <w:rPr>
          <w:color w:val="auto"/>
        </w:rPr>
      </w:pPr>
    </w:p>
    <w:p w:rsidR="00916675" w:rsidRPr="00227C94" w:rsidRDefault="00916675" w:rsidP="00926E49">
      <w:pPr>
        <w:pStyle w:val="23"/>
        <w:rPr>
          <w:color w:val="auto"/>
          <w:lang w:val="en-US"/>
        </w:rPr>
      </w:pPr>
      <w:bookmarkStart w:id="167" w:name="_DV_M183"/>
      <w:bookmarkStart w:id="168" w:name="_DV_M185"/>
      <w:bookmarkEnd w:id="167"/>
      <w:bookmarkEnd w:id="168"/>
      <w:r w:rsidRPr="00227C94">
        <w:rPr>
          <w:color w:val="auto"/>
          <w:lang w:val="en-US"/>
        </w:rPr>
        <w:t xml:space="preserve">In the first half of 2012, the Group’s selling, general and administrative expenses insignificantly </w:t>
      </w:r>
      <w:r w:rsidRPr="00227C94">
        <w:rPr>
          <w:color w:val="auto"/>
          <w:spacing w:val="-2"/>
          <w:lang w:val="en-US"/>
        </w:rPr>
        <w:t>increased from USD93</w:t>
      </w:r>
      <w:proofErr w:type="gramStart"/>
      <w:r w:rsidRPr="00227C94">
        <w:rPr>
          <w:color w:val="auto"/>
          <w:spacing w:val="-2"/>
          <w:lang w:val="en-US"/>
        </w:rPr>
        <w:t>,462</w:t>
      </w:r>
      <w:proofErr w:type="gramEnd"/>
      <w:r w:rsidRPr="00227C94">
        <w:rPr>
          <w:color w:val="auto"/>
          <w:spacing w:val="-2"/>
          <w:lang w:val="en-US"/>
        </w:rPr>
        <w:t xml:space="preserve"> thousand to USD110,240 thousand. </w:t>
      </w:r>
      <w:bookmarkStart w:id="169" w:name="_DV_M184"/>
      <w:bookmarkEnd w:id="169"/>
      <w:r w:rsidRPr="00227C94">
        <w:rPr>
          <w:color w:val="auto"/>
          <w:spacing w:val="-2"/>
          <w:lang w:val="en-US"/>
        </w:rPr>
        <w:t>Administrative salaries increas</w:t>
      </w:r>
      <w:r w:rsidR="005E47D3" w:rsidRPr="00227C94">
        <w:rPr>
          <w:color w:val="auto"/>
          <w:spacing w:val="-2"/>
          <w:lang w:val="en-US"/>
        </w:rPr>
        <w:t>ing</w:t>
      </w:r>
      <w:r w:rsidRPr="00227C94">
        <w:rPr>
          <w:color w:val="auto"/>
          <w:spacing w:val="-2"/>
          <w:lang w:val="en-US"/>
        </w:rPr>
        <w:t xml:space="preserve"> 57% </w:t>
      </w:r>
      <w:r w:rsidR="005E47D3" w:rsidRPr="00227C94">
        <w:rPr>
          <w:color w:val="auto"/>
          <w:spacing w:val="-3"/>
          <w:lang w:val="en-US"/>
        </w:rPr>
        <w:t xml:space="preserve">were </w:t>
      </w:r>
      <w:r w:rsidRPr="00227C94">
        <w:rPr>
          <w:color w:val="auto"/>
          <w:spacing w:val="-3"/>
          <w:lang w:val="en-US"/>
        </w:rPr>
        <w:t>the major contributor to the growth in expenses. The major contributor</w:t>
      </w:r>
      <w:r w:rsidR="0054138A" w:rsidRPr="00227C94">
        <w:rPr>
          <w:color w:val="auto"/>
          <w:spacing w:val="-3"/>
          <w:lang w:val="en-US"/>
        </w:rPr>
        <w:t>s</w:t>
      </w:r>
      <w:r w:rsidRPr="00227C94">
        <w:rPr>
          <w:color w:val="auto"/>
          <w:spacing w:val="-3"/>
          <w:lang w:val="en-US"/>
        </w:rPr>
        <w:t xml:space="preserve"> to the decrease were taxes </w:t>
      </w:r>
      <w:r w:rsidRPr="00227C94">
        <w:rPr>
          <w:color w:val="auto"/>
          <w:lang w:val="en-US"/>
        </w:rPr>
        <w:t>other than mining and income taxes, which decreased 44%. Depreciation of the Russian rouble in the first half of 2012 relative to the first half of 2011 also had a positive impact on the selling, general and administrative expenses of the Group.</w:t>
      </w:r>
    </w:p>
    <w:p w:rsidR="00926E49" w:rsidRPr="00227C94" w:rsidRDefault="00926E49" w:rsidP="00926E49">
      <w:pPr>
        <w:pStyle w:val="23"/>
        <w:rPr>
          <w:color w:val="auto"/>
          <w:lang w:val="en-US"/>
        </w:rPr>
      </w:pPr>
    </w:p>
    <w:p w:rsidR="00916675" w:rsidRPr="00227C94" w:rsidRDefault="00916675" w:rsidP="00926E49">
      <w:pPr>
        <w:pStyle w:val="31"/>
        <w:rPr>
          <w:b w:val="0"/>
        </w:rPr>
      </w:pPr>
      <w:r w:rsidRPr="00227C94">
        <w:rPr>
          <w:b w:val="0"/>
        </w:rPr>
        <w:t>Salaries</w:t>
      </w:r>
    </w:p>
    <w:p w:rsidR="00926E49" w:rsidRPr="00227C94" w:rsidRDefault="00926E49" w:rsidP="00926E49">
      <w:pPr>
        <w:pStyle w:val="23"/>
        <w:rPr>
          <w:color w:val="auto"/>
          <w:lang w:val="en-US"/>
        </w:rPr>
      </w:pPr>
      <w:bookmarkStart w:id="170" w:name="_DV_M186"/>
      <w:bookmarkStart w:id="171" w:name="_DV_M188"/>
      <w:bookmarkStart w:id="172" w:name="_DV_M192"/>
      <w:bookmarkEnd w:id="170"/>
      <w:bookmarkEnd w:id="171"/>
      <w:bookmarkEnd w:id="172"/>
    </w:p>
    <w:p w:rsidR="00916675" w:rsidRPr="00227C94" w:rsidRDefault="00916675" w:rsidP="00926E49">
      <w:pPr>
        <w:pStyle w:val="23"/>
        <w:rPr>
          <w:color w:val="auto"/>
          <w:lang w:val="en-US"/>
        </w:rPr>
      </w:pPr>
      <w:r w:rsidRPr="00227C94">
        <w:rPr>
          <w:color w:val="auto"/>
          <w:lang w:val="en-US"/>
        </w:rPr>
        <w:t xml:space="preserve">In </w:t>
      </w:r>
      <w:bookmarkStart w:id="173" w:name="_DV_C124"/>
      <w:r w:rsidRPr="00227C94">
        <w:rPr>
          <w:color w:val="auto"/>
          <w:lang w:val="en-US"/>
        </w:rPr>
        <w:t>H1 2012,</w:t>
      </w:r>
      <w:bookmarkStart w:id="174" w:name="_DV_M187"/>
      <w:bookmarkEnd w:id="173"/>
      <w:bookmarkEnd w:id="174"/>
      <w:r w:rsidRPr="00227C94">
        <w:rPr>
          <w:color w:val="auto"/>
          <w:lang w:val="en-US"/>
        </w:rPr>
        <w:t xml:space="preserve"> the Group’s administrative labour costs increased by 57% to USD68</w:t>
      </w:r>
      <w:proofErr w:type="gramStart"/>
      <w:r w:rsidRPr="00227C94">
        <w:rPr>
          <w:color w:val="auto"/>
          <w:lang w:val="en-US"/>
        </w:rPr>
        <w:t>,586</w:t>
      </w:r>
      <w:proofErr w:type="gramEnd"/>
      <w:r w:rsidRPr="00227C94">
        <w:rPr>
          <w:color w:val="auto"/>
          <w:lang w:val="en-US"/>
        </w:rPr>
        <w:t xml:space="preserve"> thousand. </w:t>
      </w:r>
      <w:r w:rsidR="00926E49" w:rsidRPr="00227C94">
        <w:rPr>
          <w:color w:val="auto"/>
          <w:lang w:val="en-US"/>
        </w:rPr>
        <w:br/>
      </w:r>
      <w:r w:rsidRPr="00227C94">
        <w:rPr>
          <w:color w:val="auto"/>
          <w:lang w:val="en-US"/>
        </w:rPr>
        <w:t>The increase is related to bonus payments accrual for FY2011 results (calculated proportionally to the actual bonus paid for FY2011), including bonus payments to the senior management team. There was no such accrual in H1 2011. In addition, there was an increase in the average number of administrative personnel at the Yakutia (Kuranakh) and Krasnoyarsk business units.</w:t>
      </w:r>
    </w:p>
    <w:p w:rsidR="00916675" w:rsidRPr="00227C94" w:rsidRDefault="00916675" w:rsidP="00926E49">
      <w:pPr>
        <w:pStyle w:val="23"/>
        <w:rPr>
          <w:color w:val="auto"/>
          <w:lang w:val="en-US"/>
        </w:rPr>
      </w:pPr>
    </w:p>
    <w:p w:rsidR="00916675" w:rsidRPr="00227C94" w:rsidRDefault="00926E49" w:rsidP="00926E49">
      <w:pPr>
        <w:pStyle w:val="31"/>
        <w:rPr>
          <w:b w:val="0"/>
          <w:lang w:val="en-US"/>
        </w:rPr>
      </w:pPr>
      <w:r w:rsidRPr="00227C94">
        <w:rPr>
          <w:b w:val="0"/>
          <w:lang w:val="en-US"/>
        </w:rPr>
        <w:br w:type="page"/>
      </w:r>
      <w:r w:rsidR="00916675" w:rsidRPr="00227C94">
        <w:rPr>
          <w:b w:val="0"/>
          <w:lang w:val="en-US"/>
        </w:rPr>
        <w:lastRenderedPageBreak/>
        <w:t>Taxes other than mining and income taxes</w:t>
      </w:r>
    </w:p>
    <w:p w:rsidR="00926E49" w:rsidRPr="00227C94" w:rsidRDefault="00926E49" w:rsidP="00926E49">
      <w:pPr>
        <w:pStyle w:val="23"/>
        <w:rPr>
          <w:color w:val="auto"/>
          <w:lang w:val="en-US"/>
        </w:rPr>
      </w:pPr>
    </w:p>
    <w:p w:rsidR="00916675" w:rsidRPr="00227C94" w:rsidRDefault="00916675" w:rsidP="00926E49">
      <w:pPr>
        <w:pStyle w:val="23"/>
        <w:rPr>
          <w:color w:val="auto"/>
          <w:lang w:val="en-US"/>
        </w:rPr>
      </w:pPr>
      <w:bookmarkStart w:id="175" w:name="_DV_M189"/>
      <w:bookmarkEnd w:id="175"/>
      <w:r w:rsidRPr="00227C94">
        <w:rPr>
          <w:color w:val="auto"/>
          <w:lang w:val="en-US"/>
        </w:rPr>
        <w:t>The following table shows the components of taxes, other than mining and income taxes, for the 6 months ended 30 June 2012 and 30 June 2011, and for the year ended 31 December 2011</w:t>
      </w:r>
    </w:p>
    <w:p w:rsidR="00926E49" w:rsidRPr="00227C94" w:rsidRDefault="00926E49" w:rsidP="00926E49">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2928"/>
        <w:gridCol w:w="1417"/>
        <w:gridCol w:w="113"/>
        <w:gridCol w:w="1417"/>
        <w:gridCol w:w="113"/>
        <w:gridCol w:w="1417"/>
        <w:gridCol w:w="113"/>
        <w:gridCol w:w="1417"/>
      </w:tblGrid>
      <w:tr w:rsidR="00926E49" w:rsidRPr="00227C94" w:rsidTr="00A701F4">
        <w:trPr>
          <w:cantSplit/>
        </w:trPr>
        <w:tc>
          <w:tcPr>
            <w:tcW w:w="2928" w:type="dxa"/>
            <w:tcBorders>
              <w:top w:val="nil"/>
              <w:left w:val="nil"/>
              <w:bottom w:val="nil"/>
              <w:right w:val="nil"/>
            </w:tcBorders>
          </w:tcPr>
          <w:p w:rsidR="00926E49" w:rsidRPr="00227C94" w:rsidRDefault="00926E49" w:rsidP="00926E49">
            <w:pPr>
              <w:pStyle w:val="tblHeaderText"/>
              <w:jc w:val="left"/>
              <w:rPr>
                <w:lang w:val="en-US"/>
              </w:rPr>
            </w:pPr>
          </w:p>
        </w:tc>
        <w:tc>
          <w:tcPr>
            <w:tcW w:w="2947" w:type="dxa"/>
            <w:gridSpan w:val="3"/>
            <w:tcBorders>
              <w:top w:val="nil"/>
              <w:left w:val="nil"/>
              <w:bottom w:val="single" w:sz="6" w:space="0" w:color="auto"/>
              <w:right w:val="nil"/>
            </w:tcBorders>
            <w:shd w:val="clear" w:color="auto" w:fill="auto"/>
            <w:vAlign w:val="bottom"/>
          </w:tcPr>
          <w:p w:rsidR="00926E49" w:rsidRPr="00227C94" w:rsidRDefault="00926E49" w:rsidP="00926E49">
            <w:pPr>
              <w:pStyle w:val="tblHeaderText"/>
            </w:pPr>
            <w:r w:rsidRPr="00227C94">
              <w:t>Six months ended 30 June</w:t>
            </w:r>
          </w:p>
        </w:tc>
        <w:tc>
          <w:tcPr>
            <w:tcW w:w="113" w:type="dxa"/>
            <w:tcBorders>
              <w:top w:val="nil"/>
              <w:left w:val="nil"/>
              <w:bottom w:val="nil"/>
              <w:right w:val="nil"/>
            </w:tcBorders>
            <w:vAlign w:val="bottom"/>
          </w:tcPr>
          <w:p w:rsidR="00926E49" w:rsidRPr="00227C94" w:rsidRDefault="00926E49" w:rsidP="00926E49">
            <w:pPr>
              <w:pStyle w:val="tblHeaderText"/>
            </w:pPr>
          </w:p>
        </w:tc>
        <w:tc>
          <w:tcPr>
            <w:tcW w:w="1417" w:type="dxa"/>
            <w:tcBorders>
              <w:top w:val="nil"/>
              <w:left w:val="nil"/>
              <w:right w:val="nil"/>
            </w:tcBorders>
            <w:vAlign w:val="bottom"/>
          </w:tcPr>
          <w:p w:rsidR="0054138A" w:rsidRPr="00227C94" w:rsidRDefault="00926E49" w:rsidP="00926E49">
            <w:pPr>
              <w:pStyle w:val="tblHeaderText"/>
              <w:rPr>
                <w:lang w:val="en-US"/>
              </w:rPr>
            </w:pPr>
            <w:r w:rsidRPr="00227C94">
              <w:t xml:space="preserve">% </w:t>
            </w:r>
          </w:p>
          <w:p w:rsidR="00926E49" w:rsidRPr="00227C94" w:rsidRDefault="00926E49" w:rsidP="00926E49">
            <w:pPr>
              <w:pStyle w:val="tblHeaderText"/>
            </w:pPr>
            <w:r w:rsidRPr="00227C94">
              <w:t>change</w:t>
            </w:r>
          </w:p>
        </w:tc>
        <w:tc>
          <w:tcPr>
            <w:tcW w:w="113" w:type="dxa"/>
            <w:tcBorders>
              <w:top w:val="nil"/>
              <w:left w:val="nil"/>
              <w:bottom w:val="nil"/>
              <w:right w:val="nil"/>
            </w:tcBorders>
            <w:vAlign w:val="bottom"/>
          </w:tcPr>
          <w:p w:rsidR="00926E49" w:rsidRPr="00227C94" w:rsidRDefault="00926E49" w:rsidP="00926E49">
            <w:pPr>
              <w:pStyle w:val="tblHeaderText"/>
            </w:pPr>
          </w:p>
        </w:tc>
        <w:tc>
          <w:tcPr>
            <w:tcW w:w="1417" w:type="dxa"/>
            <w:tcBorders>
              <w:top w:val="nil"/>
              <w:left w:val="nil"/>
              <w:right w:val="nil"/>
            </w:tcBorders>
            <w:vAlign w:val="bottom"/>
          </w:tcPr>
          <w:p w:rsidR="00926E49" w:rsidRPr="00227C94" w:rsidRDefault="00926E49" w:rsidP="00926E49">
            <w:pPr>
              <w:pStyle w:val="tblHeaderText"/>
            </w:pPr>
            <w:r w:rsidRPr="00227C94">
              <w:t>Year ended</w:t>
            </w:r>
          </w:p>
          <w:p w:rsidR="00926E49" w:rsidRPr="00227C94" w:rsidRDefault="00926E49" w:rsidP="00926E49">
            <w:pPr>
              <w:pStyle w:val="tblHeaderText"/>
            </w:pPr>
            <w:r w:rsidRPr="00227C94">
              <w:t>31 December</w:t>
            </w:r>
          </w:p>
        </w:tc>
      </w:tr>
      <w:tr w:rsidR="00926E49" w:rsidRPr="00227C94" w:rsidTr="00A701F4">
        <w:trPr>
          <w:cantSplit/>
        </w:trPr>
        <w:tc>
          <w:tcPr>
            <w:tcW w:w="2928" w:type="dxa"/>
            <w:tcBorders>
              <w:top w:val="nil"/>
              <w:left w:val="nil"/>
              <w:bottom w:val="nil"/>
              <w:right w:val="nil"/>
            </w:tcBorders>
          </w:tcPr>
          <w:p w:rsidR="00926E49" w:rsidRPr="00227C94" w:rsidRDefault="00926E49" w:rsidP="00926E49">
            <w:pPr>
              <w:pStyle w:val="tblHeaderText"/>
              <w:jc w:val="left"/>
            </w:pPr>
            <w:r w:rsidRPr="00227C94">
              <w:t>USD‘000</w:t>
            </w:r>
          </w:p>
        </w:tc>
        <w:tc>
          <w:tcPr>
            <w:tcW w:w="1417" w:type="dxa"/>
            <w:tcBorders>
              <w:top w:val="single" w:sz="6" w:space="0" w:color="auto"/>
              <w:left w:val="nil"/>
              <w:bottom w:val="single" w:sz="6" w:space="0" w:color="auto"/>
              <w:right w:val="nil"/>
            </w:tcBorders>
            <w:shd w:val="clear" w:color="auto" w:fill="auto"/>
          </w:tcPr>
          <w:p w:rsidR="00926E49" w:rsidRPr="00227C94" w:rsidRDefault="00926E49" w:rsidP="0096037B">
            <w:pPr>
              <w:pStyle w:val="tblHeaderText"/>
            </w:pPr>
            <w:r w:rsidRPr="00227C94">
              <w:t>2012</w:t>
            </w:r>
          </w:p>
        </w:tc>
        <w:tc>
          <w:tcPr>
            <w:tcW w:w="113" w:type="dxa"/>
            <w:tcBorders>
              <w:top w:val="single" w:sz="6" w:space="0" w:color="auto"/>
              <w:left w:val="nil"/>
              <w:bottom w:val="nil"/>
              <w:right w:val="nil"/>
            </w:tcBorders>
            <w:shd w:val="clear" w:color="auto" w:fill="auto"/>
          </w:tcPr>
          <w:p w:rsidR="00926E49" w:rsidRPr="00227C94" w:rsidRDefault="00926E49" w:rsidP="0096037B">
            <w:pPr>
              <w:pStyle w:val="tblHeaderText"/>
            </w:pPr>
          </w:p>
        </w:tc>
        <w:tc>
          <w:tcPr>
            <w:tcW w:w="1417" w:type="dxa"/>
            <w:tcBorders>
              <w:top w:val="single" w:sz="6" w:space="0" w:color="auto"/>
              <w:left w:val="nil"/>
              <w:bottom w:val="single" w:sz="6" w:space="0" w:color="auto"/>
              <w:right w:val="nil"/>
            </w:tcBorders>
            <w:shd w:val="clear" w:color="auto" w:fill="auto"/>
          </w:tcPr>
          <w:p w:rsidR="00926E49" w:rsidRPr="00227C94" w:rsidRDefault="00926E49" w:rsidP="0096037B">
            <w:pPr>
              <w:pStyle w:val="tblHeaderText"/>
            </w:pPr>
            <w:r w:rsidRPr="00227C94">
              <w:t>2011</w:t>
            </w:r>
          </w:p>
        </w:tc>
        <w:tc>
          <w:tcPr>
            <w:tcW w:w="113" w:type="dxa"/>
            <w:tcBorders>
              <w:top w:val="nil"/>
              <w:left w:val="nil"/>
              <w:right w:val="nil"/>
            </w:tcBorders>
          </w:tcPr>
          <w:p w:rsidR="00926E49" w:rsidRPr="00227C94" w:rsidRDefault="00926E49" w:rsidP="0096037B">
            <w:pPr>
              <w:pStyle w:val="tblHeaderText"/>
            </w:pPr>
          </w:p>
        </w:tc>
        <w:tc>
          <w:tcPr>
            <w:tcW w:w="1417" w:type="dxa"/>
            <w:tcBorders>
              <w:top w:val="nil"/>
              <w:left w:val="nil"/>
              <w:bottom w:val="single" w:sz="6" w:space="0" w:color="auto"/>
              <w:right w:val="nil"/>
            </w:tcBorders>
            <w:shd w:val="clear" w:color="auto" w:fill="auto"/>
          </w:tcPr>
          <w:p w:rsidR="00926E49" w:rsidRPr="00227C94" w:rsidRDefault="00926E49" w:rsidP="0096037B">
            <w:pPr>
              <w:pStyle w:val="tblHeaderText"/>
            </w:pPr>
            <w:r w:rsidRPr="00227C94">
              <w:t>p-o-p</w:t>
            </w:r>
          </w:p>
        </w:tc>
        <w:tc>
          <w:tcPr>
            <w:tcW w:w="113" w:type="dxa"/>
            <w:tcBorders>
              <w:top w:val="nil"/>
              <w:left w:val="nil"/>
              <w:right w:val="nil"/>
            </w:tcBorders>
          </w:tcPr>
          <w:p w:rsidR="00926E49" w:rsidRPr="00227C94" w:rsidRDefault="00926E49" w:rsidP="0096037B">
            <w:pPr>
              <w:pStyle w:val="tblHeaderText"/>
            </w:pPr>
          </w:p>
        </w:tc>
        <w:tc>
          <w:tcPr>
            <w:tcW w:w="1417" w:type="dxa"/>
            <w:tcBorders>
              <w:top w:val="nil"/>
              <w:left w:val="nil"/>
              <w:bottom w:val="single" w:sz="6" w:space="0" w:color="auto"/>
              <w:right w:val="nil"/>
            </w:tcBorders>
            <w:shd w:val="clear" w:color="auto" w:fill="auto"/>
          </w:tcPr>
          <w:p w:rsidR="00926E49" w:rsidRPr="00227C94" w:rsidRDefault="00926E49" w:rsidP="0096037B">
            <w:pPr>
              <w:pStyle w:val="tblHeaderText"/>
            </w:pPr>
            <w:r w:rsidRPr="00227C94">
              <w:t>2011</w:t>
            </w:r>
          </w:p>
        </w:tc>
      </w:tr>
      <w:tr w:rsidR="00926E49" w:rsidRPr="00227C94" w:rsidTr="00A701F4">
        <w:trPr>
          <w:cantSplit/>
        </w:trPr>
        <w:tc>
          <w:tcPr>
            <w:tcW w:w="2928" w:type="dxa"/>
            <w:tcBorders>
              <w:top w:val="nil"/>
              <w:left w:val="nil"/>
              <w:bottom w:val="nil"/>
              <w:right w:val="nil"/>
            </w:tcBorders>
          </w:tcPr>
          <w:p w:rsidR="00926E49" w:rsidRPr="00227C94" w:rsidRDefault="00926E49" w:rsidP="00926E49">
            <w:pPr>
              <w:pStyle w:val="tblHeaderText"/>
              <w:jc w:val="left"/>
            </w:pPr>
          </w:p>
        </w:tc>
        <w:tc>
          <w:tcPr>
            <w:tcW w:w="1417" w:type="dxa"/>
            <w:tcBorders>
              <w:top w:val="single" w:sz="6" w:space="0" w:color="auto"/>
              <w:left w:val="nil"/>
              <w:bottom w:val="nil"/>
              <w:right w:val="nil"/>
            </w:tcBorders>
            <w:shd w:val="clear" w:color="auto" w:fill="auto"/>
          </w:tcPr>
          <w:p w:rsidR="00926E49" w:rsidRPr="00227C94" w:rsidRDefault="00926E49" w:rsidP="00926E49">
            <w:pPr>
              <w:pStyle w:val="tblHeaderText"/>
            </w:pPr>
          </w:p>
        </w:tc>
        <w:tc>
          <w:tcPr>
            <w:tcW w:w="113" w:type="dxa"/>
            <w:tcBorders>
              <w:top w:val="nil"/>
              <w:left w:val="nil"/>
              <w:bottom w:val="nil"/>
              <w:right w:val="nil"/>
            </w:tcBorders>
          </w:tcPr>
          <w:p w:rsidR="00926E49" w:rsidRPr="00227C94" w:rsidRDefault="00926E49" w:rsidP="00926E49">
            <w:pPr>
              <w:pStyle w:val="tblHeaderText"/>
            </w:pPr>
          </w:p>
        </w:tc>
        <w:tc>
          <w:tcPr>
            <w:tcW w:w="1417" w:type="dxa"/>
            <w:tcBorders>
              <w:top w:val="single" w:sz="6" w:space="0" w:color="auto"/>
              <w:left w:val="nil"/>
              <w:bottom w:val="nil"/>
              <w:right w:val="nil"/>
            </w:tcBorders>
            <w:shd w:val="clear" w:color="auto" w:fill="auto"/>
          </w:tcPr>
          <w:p w:rsidR="00926E49" w:rsidRPr="00227C94" w:rsidRDefault="00926E49" w:rsidP="00926E49">
            <w:pPr>
              <w:pStyle w:val="tblHeaderText"/>
            </w:pPr>
          </w:p>
        </w:tc>
        <w:tc>
          <w:tcPr>
            <w:tcW w:w="113" w:type="dxa"/>
            <w:tcBorders>
              <w:left w:val="nil"/>
              <w:bottom w:val="nil"/>
              <w:right w:val="nil"/>
            </w:tcBorders>
            <w:shd w:val="clear" w:color="auto" w:fill="auto"/>
          </w:tcPr>
          <w:p w:rsidR="00926E49" w:rsidRPr="00227C94" w:rsidRDefault="00926E49" w:rsidP="00926E49">
            <w:pPr>
              <w:pStyle w:val="tblHeaderText"/>
            </w:pPr>
          </w:p>
        </w:tc>
        <w:tc>
          <w:tcPr>
            <w:tcW w:w="1417" w:type="dxa"/>
            <w:tcBorders>
              <w:top w:val="single" w:sz="6" w:space="0" w:color="auto"/>
              <w:left w:val="nil"/>
              <w:bottom w:val="nil"/>
              <w:right w:val="nil"/>
            </w:tcBorders>
            <w:shd w:val="clear" w:color="auto" w:fill="auto"/>
          </w:tcPr>
          <w:p w:rsidR="00926E49" w:rsidRPr="00227C94" w:rsidRDefault="00926E49" w:rsidP="00926E49">
            <w:pPr>
              <w:pStyle w:val="tblHeaderText"/>
            </w:pPr>
          </w:p>
        </w:tc>
        <w:tc>
          <w:tcPr>
            <w:tcW w:w="113" w:type="dxa"/>
            <w:tcBorders>
              <w:left w:val="nil"/>
              <w:bottom w:val="nil"/>
              <w:right w:val="nil"/>
            </w:tcBorders>
            <w:shd w:val="clear" w:color="auto" w:fill="auto"/>
          </w:tcPr>
          <w:p w:rsidR="00926E49" w:rsidRPr="00227C94" w:rsidRDefault="00926E49" w:rsidP="00926E49">
            <w:pPr>
              <w:pStyle w:val="tblHeaderText"/>
            </w:pPr>
          </w:p>
        </w:tc>
        <w:tc>
          <w:tcPr>
            <w:tcW w:w="1417" w:type="dxa"/>
            <w:tcBorders>
              <w:top w:val="single" w:sz="6" w:space="0" w:color="auto"/>
              <w:left w:val="nil"/>
              <w:bottom w:val="nil"/>
              <w:right w:val="nil"/>
            </w:tcBorders>
            <w:shd w:val="clear" w:color="auto" w:fill="auto"/>
          </w:tcPr>
          <w:p w:rsidR="00926E49" w:rsidRPr="00227C94" w:rsidRDefault="00926E49" w:rsidP="00926E49">
            <w:pPr>
              <w:pStyle w:val="tblHeaderText"/>
            </w:pPr>
          </w:p>
        </w:tc>
      </w:tr>
      <w:tr w:rsidR="00926E49" w:rsidRPr="00227C94" w:rsidTr="00926E49">
        <w:trPr>
          <w:cantSplit/>
        </w:trPr>
        <w:tc>
          <w:tcPr>
            <w:tcW w:w="2928" w:type="dxa"/>
            <w:tcBorders>
              <w:top w:val="nil"/>
              <w:left w:val="nil"/>
              <w:bottom w:val="nil"/>
              <w:right w:val="nil"/>
            </w:tcBorders>
          </w:tcPr>
          <w:p w:rsidR="00926E49" w:rsidRPr="00227C94" w:rsidRDefault="00926E49" w:rsidP="00926E49">
            <w:pPr>
              <w:pStyle w:val="tblText05"/>
              <w:ind w:left="113"/>
            </w:pPr>
            <w:r w:rsidRPr="00227C94">
              <w:t>Property tax</w:t>
            </w:r>
          </w:p>
        </w:tc>
        <w:tc>
          <w:tcPr>
            <w:tcW w:w="1417" w:type="dxa"/>
            <w:tcBorders>
              <w:top w:val="nil"/>
              <w:left w:val="nil"/>
              <w:bottom w:val="nil"/>
              <w:right w:val="nil"/>
            </w:tcBorders>
            <w:vAlign w:val="bottom"/>
          </w:tcPr>
          <w:p w:rsidR="00926E49" w:rsidRPr="00227C94" w:rsidRDefault="00926E49" w:rsidP="00926E49">
            <w:pPr>
              <w:pStyle w:val="tblNumber01"/>
            </w:pPr>
            <w:r w:rsidRPr="00227C94">
              <w:t>9,681</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nil"/>
              <w:right w:val="nil"/>
            </w:tcBorders>
            <w:vAlign w:val="bottom"/>
          </w:tcPr>
          <w:p w:rsidR="00926E49" w:rsidRPr="00227C94" w:rsidRDefault="00926E49" w:rsidP="00926E49">
            <w:pPr>
              <w:pStyle w:val="tblNumber01"/>
            </w:pPr>
            <w:r w:rsidRPr="00227C94">
              <w:t>10,228</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nil"/>
              <w:right w:val="nil"/>
            </w:tcBorders>
            <w:vAlign w:val="bottom"/>
          </w:tcPr>
          <w:p w:rsidR="00926E49" w:rsidRPr="00227C94" w:rsidRDefault="00926E49" w:rsidP="00926E49">
            <w:pPr>
              <w:pStyle w:val="tblNumber00"/>
            </w:pPr>
            <w:r w:rsidRPr="00227C94">
              <w:t>(5)</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nil"/>
              <w:right w:val="nil"/>
            </w:tcBorders>
            <w:vAlign w:val="bottom"/>
          </w:tcPr>
          <w:p w:rsidR="00926E49" w:rsidRPr="00227C94" w:rsidRDefault="00926E49" w:rsidP="00926E49">
            <w:pPr>
              <w:pStyle w:val="tblNumber01"/>
            </w:pPr>
            <w:r w:rsidRPr="00227C94">
              <w:t>20,661</w:t>
            </w:r>
          </w:p>
        </w:tc>
      </w:tr>
      <w:tr w:rsidR="00926E49" w:rsidRPr="00227C94" w:rsidTr="00926E49">
        <w:trPr>
          <w:cantSplit/>
        </w:trPr>
        <w:tc>
          <w:tcPr>
            <w:tcW w:w="2928" w:type="dxa"/>
            <w:tcBorders>
              <w:top w:val="nil"/>
              <w:left w:val="nil"/>
              <w:bottom w:val="nil"/>
              <w:right w:val="nil"/>
            </w:tcBorders>
          </w:tcPr>
          <w:p w:rsidR="00926E49" w:rsidRPr="00227C94" w:rsidRDefault="00926E49" w:rsidP="00926E49">
            <w:pPr>
              <w:pStyle w:val="tblText05"/>
              <w:ind w:left="113"/>
            </w:pPr>
            <w:r w:rsidRPr="00227C94">
              <w:t>VAT</w:t>
            </w:r>
          </w:p>
        </w:tc>
        <w:tc>
          <w:tcPr>
            <w:tcW w:w="1417" w:type="dxa"/>
            <w:tcBorders>
              <w:top w:val="nil"/>
              <w:left w:val="nil"/>
              <w:bottom w:val="nil"/>
              <w:right w:val="nil"/>
            </w:tcBorders>
            <w:vAlign w:val="bottom"/>
          </w:tcPr>
          <w:p w:rsidR="00926E49" w:rsidRPr="00227C94" w:rsidRDefault="00926E49" w:rsidP="00926E49">
            <w:pPr>
              <w:pStyle w:val="tblNumber01"/>
            </w:pPr>
            <w:r w:rsidRPr="00227C94">
              <w:t>505</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nil"/>
              <w:right w:val="nil"/>
            </w:tcBorders>
            <w:vAlign w:val="bottom"/>
          </w:tcPr>
          <w:p w:rsidR="00926E49" w:rsidRPr="00227C94" w:rsidRDefault="00926E49" w:rsidP="00926E49">
            <w:pPr>
              <w:pStyle w:val="tblNumber01"/>
            </w:pPr>
            <w:r w:rsidRPr="00227C94">
              <w:t>772</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nil"/>
              <w:right w:val="nil"/>
            </w:tcBorders>
            <w:vAlign w:val="bottom"/>
          </w:tcPr>
          <w:p w:rsidR="00926E49" w:rsidRPr="00227C94" w:rsidRDefault="00926E49" w:rsidP="00926E49">
            <w:pPr>
              <w:pStyle w:val="tblNumber00"/>
            </w:pPr>
            <w:r w:rsidRPr="00227C94">
              <w:t>(35)</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nil"/>
              <w:right w:val="nil"/>
            </w:tcBorders>
            <w:vAlign w:val="bottom"/>
          </w:tcPr>
          <w:p w:rsidR="00926E49" w:rsidRPr="00227C94" w:rsidRDefault="00926E49" w:rsidP="00926E49">
            <w:pPr>
              <w:pStyle w:val="tblNumber01"/>
            </w:pPr>
            <w:r w:rsidRPr="00227C94">
              <w:t>2,167</w:t>
            </w:r>
          </w:p>
        </w:tc>
      </w:tr>
      <w:tr w:rsidR="00926E49" w:rsidRPr="00227C94" w:rsidTr="00A701F4">
        <w:trPr>
          <w:cantSplit/>
        </w:trPr>
        <w:tc>
          <w:tcPr>
            <w:tcW w:w="2928" w:type="dxa"/>
            <w:tcBorders>
              <w:top w:val="nil"/>
              <w:left w:val="nil"/>
              <w:bottom w:val="nil"/>
              <w:right w:val="nil"/>
            </w:tcBorders>
          </w:tcPr>
          <w:p w:rsidR="00926E49" w:rsidRPr="00227C94" w:rsidRDefault="00926E49" w:rsidP="00926E49">
            <w:pPr>
              <w:pStyle w:val="tblText05"/>
              <w:ind w:left="113"/>
            </w:pPr>
            <w:r w:rsidRPr="00227C94">
              <w:t>Tax on dividends</w:t>
            </w:r>
          </w:p>
        </w:tc>
        <w:tc>
          <w:tcPr>
            <w:tcW w:w="1417" w:type="dxa"/>
            <w:tcBorders>
              <w:top w:val="nil"/>
              <w:left w:val="nil"/>
              <w:right w:val="nil"/>
            </w:tcBorders>
            <w:vAlign w:val="bottom"/>
          </w:tcPr>
          <w:p w:rsidR="00926E49" w:rsidRPr="00227C94" w:rsidRDefault="00926E49" w:rsidP="00926E49">
            <w:pPr>
              <w:pStyle w:val="tblNumberDash"/>
            </w:pPr>
            <w:r w:rsidRPr="00227C94">
              <w:t>-</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right w:val="nil"/>
            </w:tcBorders>
            <w:vAlign w:val="bottom"/>
          </w:tcPr>
          <w:p w:rsidR="00926E49" w:rsidRPr="00227C94" w:rsidRDefault="00926E49" w:rsidP="00926E49">
            <w:pPr>
              <w:pStyle w:val="tblNumber01"/>
            </w:pPr>
            <w:r w:rsidRPr="00227C94">
              <w:t>540</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right w:val="nil"/>
            </w:tcBorders>
            <w:vAlign w:val="bottom"/>
          </w:tcPr>
          <w:p w:rsidR="00926E49" w:rsidRPr="00227C94" w:rsidRDefault="00926E49" w:rsidP="00926E49">
            <w:pPr>
              <w:pStyle w:val="tblNumberDash"/>
            </w:pPr>
            <w:r w:rsidRPr="00227C94">
              <w:t>-</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right w:val="nil"/>
            </w:tcBorders>
            <w:vAlign w:val="bottom"/>
          </w:tcPr>
          <w:p w:rsidR="00926E49" w:rsidRPr="00227C94" w:rsidRDefault="00926E49" w:rsidP="00926E49">
            <w:pPr>
              <w:pStyle w:val="tblNumber01"/>
            </w:pPr>
            <w:r w:rsidRPr="00227C94">
              <w:t>16,388</w:t>
            </w:r>
          </w:p>
        </w:tc>
      </w:tr>
      <w:tr w:rsidR="00926E49" w:rsidRPr="00227C94" w:rsidTr="00A701F4">
        <w:trPr>
          <w:cantSplit/>
        </w:trPr>
        <w:tc>
          <w:tcPr>
            <w:tcW w:w="2928" w:type="dxa"/>
            <w:tcBorders>
              <w:top w:val="nil"/>
              <w:left w:val="nil"/>
              <w:bottom w:val="nil"/>
              <w:right w:val="nil"/>
            </w:tcBorders>
          </w:tcPr>
          <w:p w:rsidR="00926E49" w:rsidRPr="00227C94" w:rsidRDefault="00926E49" w:rsidP="00926E49">
            <w:pPr>
              <w:pStyle w:val="tblText05"/>
              <w:ind w:left="113"/>
            </w:pPr>
            <w:r w:rsidRPr="00227C94">
              <w:t>Other taxes</w:t>
            </w:r>
          </w:p>
        </w:tc>
        <w:tc>
          <w:tcPr>
            <w:tcW w:w="1417" w:type="dxa"/>
            <w:tcBorders>
              <w:top w:val="nil"/>
              <w:left w:val="nil"/>
              <w:bottom w:val="single" w:sz="6" w:space="0" w:color="auto"/>
              <w:right w:val="nil"/>
            </w:tcBorders>
            <w:shd w:val="clear" w:color="auto" w:fill="auto"/>
            <w:vAlign w:val="bottom"/>
          </w:tcPr>
          <w:p w:rsidR="00926E49" w:rsidRPr="00227C94" w:rsidRDefault="00926E49" w:rsidP="00926E49">
            <w:pPr>
              <w:pStyle w:val="tblNumber01"/>
            </w:pPr>
            <w:r w:rsidRPr="00227C94">
              <w:t>1,866</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single" w:sz="6" w:space="0" w:color="auto"/>
              <w:right w:val="nil"/>
            </w:tcBorders>
            <w:shd w:val="clear" w:color="auto" w:fill="auto"/>
            <w:vAlign w:val="bottom"/>
          </w:tcPr>
          <w:p w:rsidR="00926E49" w:rsidRPr="00227C94" w:rsidRDefault="00926E49" w:rsidP="00926E49">
            <w:pPr>
              <w:pStyle w:val="tblNumber01"/>
            </w:pPr>
            <w:r w:rsidRPr="00227C94">
              <w:t>10,166</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single" w:sz="6" w:space="0" w:color="auto"/>
              <w:right w:val="nil"/>
            </w:tcBorders>
            <w:shd w:val="clear" w:color="auto" w:fill="auto"/>
            <w:vAlign w:val="bottom"/>
          </w:tcPr>
          <w:p w:rsidR="00926E49" w:rsidRPr="00227C94" w:rsidRDefault="00926E49" w:rsidP="00926E49">
            <w:pPr>
              <w:pStyle w:val="tblNumber00"/>
            </w:pPr>
            <w:r w:rsidRPr="00227C94">
              <w:t>(82)</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single" w:sz="6" w:space="0" w:color="auto"/>
              <w:right w:val="nil"/>
            </w:tcBorders>
            <w:shd w:val="clear" w:color="auto" w:fill="auto"/>
            <w:vAlign w:val="bottom"/>
          </w:tcPr>
          <w:p w:rsidR="00926E49" w:rsidRPr="00227C94" w:rsidRDefault="00926E49" w:rsidP="00926E49">
            <w:pPr>
              <w:pStyle w:val="tblNumber01"/>
            </w:pPr>
            <w:r w:rsidRPr="00227C94">
              <w:t>3,414</w:t>
            </w:r>
          </w:p>
        </w:tc>
      </w:tr>
      <w:tr w:rsidR="00926E49" w:rsidRPr="00227C94" w:rsidTr="00A701F4">
        <w:trPr>
          <w:cantSplit/>
        </w:trPr>
        <w:tc>
          <w:tcPr>
            <w:tcW w:w="2928" w:type="dxa"/>
            <w:tcBorders>
              <w:top w:val="nil"/>
              <w:left w:val="nil"/>
              <w:bottom w:val="nil"/>
              <w:right w:val="nil"/>
            </w:tcBorders>
          </w:tcPr>
          <w:p w:rsidR="00926E49" w:rsidRPr="00227C94" w:rsidRDefault="00926E49" w:rsidP="00926E49">
            <w:pPr>
              <w:pStyle w:val="tblText05"/>
              <w:ind w:left="113"/>
            </w:pPr>
          </w:p>
        </w:tc>
        <w:tc>
          <w:tcPr>
            <w:tcW w:w="1417" w:type="dxa"/>
            <w:tcBorders>
              <w:top w:val="single" w:sz="6" w:space="0" w:color="auto"/>
              <w:left w:val="nil"/>
              <w:right w:val="nil"/>
            </w:tcBorders>
            <w:shd w:val="clear" w:color="auto" w:fill="auto"/>
            <w:vAlign w:val="bottom"/>
          </w:tcPr>
          <w:p w:rsidR="00926E49" w:rsidRPr="00227C94" w:rsidRDefault="00926E49" w:rsidP="00926E49">
            <w:pPr>
              <w:pStyle w:val="tblNumber01"/>
            </w:pP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single" w:sz="6" w:space="0" w:color="auto"/>
              <w:left w:val="nil"/>
              <w:right w:val="nil"/>
            </w:tcBorders>
            <w:shd w:val="clear" w:color="auto" w:fill="auto"/>
            <w:vAlign w:val="bottom"/>
          </w:tcPr>
          <w:p w:rsidR="00926E49" w:rsidRPr="00227C94" w:rsidRDefault="00926E49" w:rsidP="00926E49">
            <w:pPr>
              <w:pStyle w:val="tblNumber01"/>
            </w:pP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single" w:sz="6" w:space="0" w:color="auto"/>
              <w:left w:val="nil"/>
              <w:right w:val="nil"/>
            </w:tcBorders>
            <w:shd w:val="clear" w:color="auto" w:fill="auto"/>
            <w:vAlign w:val="bottom"/>
          </w:tcPr>
          <w:p w:rsidR="00926E49" w:rsidRPr="00227C94" w:rsidRDefault="00926E49" w:rsidP="00926E49">
            <w:pPr>
              <w:pStyle w:val="tblNumber00"/>
            </w:pP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single" w:sz="6" w:space="0" w:color="auto"/>
              <w:left w:val="nil"/>
              <w:right w:val="nil"/>
            </w:tcBorders>
            <w:shd w:val="clear" w:color="auto" w:fill="auto"/>
            <w:vAlign w:val="bottom"/>
          </w:tcPr>
          <w:p w:rsidR="00926E49" w:rsidRPr="00227C94" w:rsidRDefault="00926E49" w:rsidP="00926E49">
            <w:pPr>
              <w:pStyle w:val="tblNumber01"/>
            </w:pPr>
          </w:p>
        </w:tc>
      </w:tr>
      <w:tr w:rsidR="00926E49" w:rsidRPr="00227C94" w:rsidTr="00926E49">
        <w:trPr>
          <w:cantSplit/>
        </w:trPr>
        <w:tc>
          <w:tcPr>
            <w:tcW w:w="2928" w:type="dxa"/>
            <w:tcBorders>
              <w:top w:val="nil"/>
              <w:left w:val="nil"/>
              <w:bottom w:val="nil"/>
              <w:right w:val="nil"/>
            </w:tcBorders>
          </w:tcPr>
          <w:p w:rsidR="00926E49" w:rsidRPr="00227C94" w:rsidRDefault="00926E49" w:rsidP="00926E49">
            <w:pPr>
              <w:pStyle w:val="tblText05"/>
              <w:ind w:left="113"/>
              <w:rPr>
                <w:b/>
              </w:rPr>
            </w:pPr>
            <w:r w:rsidRPr="00227C94">
              <w:rPr>
                <w:b/>
              </w:rPr>
              <w:t>Total</w:t>
            </w:r>
          </w:p>
        </w:tc>
        <w:tc>
          <w:tcPr>
            <w:tcW w:w="1417" w:type="dxa"/>
            <w:tcBorders>
              <w:top w:val="nil"/>
              <w:left w:val="nil"/>
              <w:bottom w:val="double" w:sz="6" w:space="0" w:color="auto"/>
              <w:right w:val="nil"/>
            </w:tcBorders>
            <w:shd w:val="clear" w:color="auto" w:fill="auto"/>
            <w:vAlign w:val="bottom"/>
          </w:tcPr>
          <w:p w:rsidR="00926E49" w:rsidRPr="00227C94" w:rsidRDefault="00926E49" w:rsidP="00926E49">
            <w:pPr>
              <w:pStyle w:val="tblNumber01"/>
              <w:rPr>
                <w:b/>
              </w:rPr>
            </w:pPr>
            <w:r w:rsidRPr="00227C94">
              <w:rPr>
                <w:b/>
              </w:rPr>
              <w:t>12,052</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double" w:sz="6" w:space="0" w:color="auto"/>
              <w:right w:val="nil"/>
            </w:tcBorders>
            <w:shd w:val="clear" w:color="auto" w:fill="auto"/>
            <w:vAlign w:val="bottom"/>
          </w:tcPr>
          <w:p w:rsidR="00926E49" w:rsidRPr="00227C94" w:rsidRDefault="00926E49" w:rsidP="00926E49">
            <w:pPr>
              <w:pStyle w:val="tblNumber01"/>
              <w:rPr>
                <w:b/>
              </w:rPr>
            </w:pPr>
            <w:r w:rsidRPr="00227C94">
              <w:rPr>
                <w:b/>
              </w:rPr>
              <w:t>21,706</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double" w:sz="6" w:space="0" w:color="auto"/>
              <w:right w:val="nil"/>
            </w:tcBorders>
            <w:shd w:val="clear" w:color="auto" w:fill="auto"/>
            <w:vAlign w:val="bottom"/>
          </w:tcPr>
          <w:p w:rsidR="00926E49" w:rsidRPr="00227C94" w:rsidRDefault="00926E49" w:rsidP="00926E49">
            <w:pPr>
              <w:pStyle w:val="tblNumber00"/>
              <w:rPr>
                <w:b/>
              </w:rPr>
            </w:pPr>
            <w:r w:rsidRPr="00227C94">
              <w:rPr>
                <w:b/>
              </w:rPr>
              <w:t>(44)</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double" w:sz="6" w:space="0" w:color="auto"/>
              <w:right w:val="nil"/>
            </w:tcBorders>
            <w:shd w:val="clear" w:color="auto" w:fill="auto"/>
            <w:vAlign w:val="bottom"/>
          </w:tcPr>
          <w:p w:rsidR="00926E49" w:rsidRPr="00227C94" w:rsidRDefault="00926E49" w:rsidP="00926E49">
            <w:pPr>
              <w:pStyle w:val="tblNumber01"/>
              <w:rPr>
                <w:b/>
              </w:rPr>
            </w:pPr>
            <w:r w:rsidRPr="00227C94">
              <w:rPr>
                <w:b/>
              </w:rPr>
              <w:t>42,630</w:t>
            </w:r>
          </w:p>
        </w:tc>
      </w:tr>
    </w:tbl>
    <w:p w:rsidR="00916675" w:rsidRPr="00227C94" w:rsidRDefault="00916675" w:rsidP="00926E49">
      <w:pPr>
        <w:pStyle w:val="23"/>
        <w:rPr>
          <w:color w:val="auto"/>
          <w:lang w:val="en-US"/>
        </w:rPr>
      </w:pPr>
    </w:p>
    <w:p w:rsidR="00926E49" w:rsidRPr="00227C94" w:rsidRDefault="00926E49" w:rsidP="00926E49">
      <w:pPr>
        <w:pStyle w:val="23"/>
        <w:rPr>
          <w:color w:val="auto"/>
          <w:lang w:val="en-US"/>
        </w:rPr>
      </w:pPr>
    </w:p>
    <w:p w:rsidR="00916675" w:rsidRPr="00227C94" w:rsidRDefault="00916675" w:rsidP="00926E49">
      <w:pPr>
        <w:pStyle w:val="23"/>
        <w:rPr>
          <w:color w:val="auto"/>
          <w:lang w:val="en-US"/>
        </w:rPr>
      </w:pPr>
      <w:bookmarkStart w:id="176" w:name="_DV_M190"/>
      <w:bookmarkEnd w:id="176"/>
      <w:r w:rsidRPr="00227C94">
        <w:rPr>
          <w:color w:val="auto"/>
          <w:lang w:val="en-US"/>
        </w:rPr>
        <w:t>In</w:t>
      </w:r>
      <w:bookmarkStart w:id="177" w:name="_DV_C126"/>
      <w:r w:rsidRPr="00227C94">
        <w:rPr>
          <w:color w:val="auto"/>
          <w:lang w:val="en-US"/>
        </w:rPr>
        <w:t xml:space="preserve"> H1 2012,</w:t>
      </w:r>
      <w:bookmarkStart w:id="178" w:name="_DV_M191"/>
      <w:bookmarkEnd w:id="177"/>
      <w:bookmarkEnd w:id="178"/>
      <w:r w:rsidRPr="00227C94">
        <w:rPr>
          <w:color w:val="auto"/>
          <w:lang w:val="en-US"/>
        </w:rPr>
        <w:t xml:space="preserve"> the Group accrued USD12</w:t>
      </w:r>
      <w:proofErr w:type="gramStart"/>
      <w:r w:rsidRPr="00227C94">
        <w:rPr>
          <w:color w:val="auto"/>
          <w:lang w:val="en-US"/>
        </w:rPr>
        <w:t>,052</w:t>
      </w:r>
      <w:proofErr w:type="gramEnd"/>
      <w:r w:rsidRPr="00227C94">
        <w:rPr>
          <w:color w:val="auto"/>
          <w:lang w:val="en-US"/>
        </w:rPr>
        <w:t xml:space="preserve"> thousand in federal and regional taxes other than tax on mining and income tax, compared to USD21,706 thousand in the first half of 2011. Property tax charges were at the level of the previous year. First, the Group capitalised property taxes accrued at the Magadan business unit and Yakutia (Nezhdaninskoye) business unit. Also the Group suspended operations at the Zapadnoye mine in April 2011. This was partly offset by property tax increase</w:t>
      </w:r>
      <w:r w:rsidR="005E47D3" w:rsidRPr="00227C94">
        <w:rPr>
          <w:color w:val="auto"/>
          <w:lang w:val="en-US"/>
        </w:rPr>
        <w:t>s</w:t>
      </w:r>
      <w:r w:rsidRPr="00227C94">
        <w:rPr>
          <w:color w:val="auto"/>
          <w:lang w:val="en-US"/>
        </w:rPr>
        <w:t xml:space="preserve"> due to commissioning of new property, plant and equipment at the Irkutsk ore business unit following the launch of the Verninskoye mine in December 2011.</w:t>
      </w:r>
    </w:p>
    <w:p w:rsidR="00926E49" w:rsidRPr="00227C94" w:rsidRDefault="00926E49" w:rsidP="00926E49">
      <w:pPr>
        <w:pStyle w:val="23"/>
        <w:rPr>
          <w:color w:val="auto"/>
          <w:lang w:val="en-US"/>
        </w:rPr>
      </w:pPr>
    </w:p>
    <w:p w:rsidR="00916675" w:rsidRPr="00227C94" w:rsidRDefault="00916675" w:rsidP="00926E49">
      <w:pPr>
        <w:pStyle w:val="31"/>
        <w:rPr>
          <w:b w:val="0"/>
          <w:lang w:val="en-US"/>
        </w:rPr>
      </w:pPr>
      <w:r w:rsidRPr="00227C94">
        <w:rPr>
          <w:b w:val="0"/>
        </w:rPr>
        <w:t>Professional services</w:t>
      </w:r>
    </w:p>
    <w:p w:rsidR="00926E49" w:rsidRPr="00227C94" w:rsidRDefault="00926E49" w:rsidP="00926E49">
      <w:pPr>
        <w:pStyle w:val="23"/>
        <w:rPr>
          <w:color w:val="auto"/>
          <w:lang w:val="en-US"/>
        </w:rPr>
      </w:pPr>
    </w:p>
    <w:p w:rsidR="00916675" w:rsidRPr="00227C94" w:rsidRDefault="00916675" w:rsidP="00926E49">
      <w:pPr>
        <w:pStyle w:val="23"/>
        <w:rPr>
          <w:color w:val="auto"/>
          <w:spacing w:val="-2"/>
          <w:lang w:val="en-US"/>
        </w:rPr>
      </w:pPr>
      <w:bookmarkStart w:id="179" w:name="_DV_M193"/>
      <w:bookmarkEnd w:id="179"/>
      <w:r w:rsidRPr="00227C94">
        <w:rPr>
          <w:color w:val="auto"/>
          <w:lang w:val="en-US"/>
        </w:rPr>
        <w:t xml:space="preserve">In </w:t>
      </w:r>
      <w:bookmarkStart w:id="180" w:name="_DV_C128"/>
      <w:r w:rsidRPr="00227C94">
        <w:rPr>
          <w:color w:val="auto"/>
          <w:lang w:val="en-US"/>
        </w:rPr>
        <w:t>H1 2012,</w:t>
      </w:r>
      <w:bookmarkStart w:id="181" w:name="_DV_M194"/>
      <w:bookmarkEnd w:id="180"/>
      <w:bookmarkEnd w:id="181"/>
      <w:r w:rsidRPr="00227C94">
        <w:rPr>
          <w:color w:val="auto"/>
          <w:lang w:val="en-US"/>
        </w:rPr>
        <w:t xml:space="preserve"> the Group incurred USD15,429 thousand of costs related to professional services, reflecting payments for advisory services provided to the Group </w:t>
      </w:r>
      <w:bookmarkStart w:id="182" w:name="_DV_M195"/>
      <w:bookmarkStart w:id="183" w:name="_DV_M196"/>
      <w:bookmarkEnd w:id="182"/>
      <w:bookmarkEnd w:id="183"/>
      <w:r w:rsidRPr="00227C94">
        <w:rPr>
          <w:color w:val="auto"/>
          <w:lang w:val="en-US"/>
        </w:rPr>
        <w:t xml:space="preserve">with regard to the obtaining of the </w:t>
      </w:r>
      <w:r w:rsidRPr="00227C94">
        <w:rPr>
          <w:color w:val="auto"/>
          <w:spacing w:val="-2"/>
          <w:lang w:val="en-US"/>
        </w:rPr>
        <w:t>premium listing on the London Stock Exchange and negotiations related to the sale of PGIL’</w:t>
      </w:r>
      <w:bookmarkStart w:id="184" w:name="_DV_C130"/>
      <w:r w:rsidRPr="00227C94">
        <w:rPr>
          <w:color w:val="auto"/>
          <w:spacing w:val="-2"/>
          <w:lang w:val="en-US"/>
        </w:rPr>
        <w:t>s operating</w:t>
      </w:r>
      <w:bookmarkStart w:id="185" w:name="_DV_M197"/>
      <w:bookmarkEnd w:id="184"/>
      <w:bookmarkEnd w:id="185"/>
      <w:r w:rsidRPr="00227C94">
        <w:rPr>
          <w:color w:val="auto"/>
          <w:spacing w:val="-2"/>
          <w:lang w:val="en-US"/>
        </w:rPr>
        <w:t xml:space="preserve"> subsidiaries in Romania, as well as </w:t>
      </w:r>
      <w:r w:rsidR="0054138A" w:rsidRPr="00227C94">
        <w:rPr>
          <w:color w:val="auto"/>
          <w:spacing w:val="-2"/>
          <w:lang w:val="en-US"/>
        </w:rPr>
        <w:t xml:space="preserve">an </w:t>
      </w:r>
      <w:r w:rsidRPr="00227C94">
        <w:rPr>
          <w:color w:val="auto"/>
          <w:spacing w:val="-2"/>
          <w:lang w:val="en-US"/>
        </w:rPr>
        <w:t xml:space="preserve">increase in software and maintenance costs. </w:t>
      </w:r>
      <w:r w:rsidR="0054138A" w:rsidRPr="00227C94">
        <w:rPr>
          <w:color w:val="auto"/>
          <w:spacing w:val="-2"/>
          <w:lang w:val="en-US"/>
        </w:rPr>
        <w:t>L</w:t>
      </w:r>
      <w:r w:rsidRPr="00227C94">
        <w:rPr>
          <w:color w:val="auto"/>
          <w:spacing w:val="-2"/>
          <w:lang w:val="en-US"/>
        </w:rPr>
        <w:t>egal, audit and consulting service payments decreased by USD1</w:t>
      </w:r>
      <w:proofErr w:type="gramStart"/>
      <w:r w:rsidRPr="00227C94">
        <w:rPr>
          <w:color w:val="auto"/>
          <w:spacing w:val="-2"/>
          <w:lang w:val="en-US"/>
        </w:rPr>
        <w:t>,807</w:t>
      </w:r>
      <w:proofErr w:type="gramEnd"/>
      <w:r w:rsidRPr="00227C94">
        <w:rPr>
          <w:color w:val="auto"/>
          <w:spacing w:val="-2"/>
          <w:lang w:val="en-US"/>
        </w:rPr>
        <w:t xml:space="preserve"> thousand.</w:t>
      </w:r>
    </w:p>
    <w:p w:rsidR="00926E49" w:rsidRPr="00227C94" w:rsidRDefault="00926E49" w:rsidP="00926E49">
      <w:pPr>
        <w:pStyle w:val="23"/>
        <w:rPr>
          <w:color w:val="auto"/>
          <w:lang w:val="en-US"/>
        </w:rPr>
      </w:pPr>
    </w:p>
    <w:p w:rsidR="00916675" w:rsidRPr="00227C94" w:rsidRDefault="00916675" w:rsidP="00926E49">
      <w:pPr>
        <w:pStyle w:val="22"/>
        <w:rPr>
          <w:lang w:val="en-US"/>
        </w:rPr>
      </w:pPr>
      <w:bookmarkStart w:id="186" w:name="_DV_M198"/>
      <w:bookmarkStart w:id="187" w:name="_DV_M199"/>
      <w:bookmarkStart w:id="188" w:name="_DV_M200"/>
      <w:bookmarkStart w:id="189" w:name="_DV_M201"/>
      <w:bookmarkStart w:id="190" w:name="_DV_M202"/>
      <w:bookmarkStart w:id="191" w:name="_Toc303889386"/>
      <w:bookmarkStart w:id="192" w:name="_Toc304205603"/>
      <w:bookmarkEnd w:id="186"/>
      <w:bookmarkEnd w:id="187"/>
      <w:bookmarkEnd w:id="188"/>
      <w:bookmarkEnd w:id="189"/>
      <w:bookmarkEnd w:id="190"/>
      <w:r w:rsidRPr="00227C94">
        <w:t>1.5 Impairment</w:t>
      </w:r>
      <w:bookmarkEnd w:id="191"/>
      <w:bookmarkEnd w:id="192"/>
    </w:p>
    <w:p w:rsidR="00926E49" w:rsidRPr="00227C94" w:rsidRDefault="00926E49" w:rsidP="00926E49">
      <w:pPr>
        <w:pStyle w:val="23"/>
        <w:rPr>
          <w:color w:val="auto"/>
          <w:lang w:val="en-US"/>
        </w:rPr>
      </w:pPr>
    </w:p>
    <w:p w:rsidR="00916675" w:rsidRPr="00227C94" w:rsidRDefault="00916675" w:rsidP="00926E49">
      <w:pPr>
        <w:pStyle w:val="23"/>
        <w:rPr>
          <w:color w:val="auto"/>
          <w:lang w:val="en-US"/>
        </w:rPr>
      </w:pPr>
      <w:bookmarkStart w:id="193" w:name="_DV_M203"/>
      <w:bookmarkEnd w:id="193"/>
      <w:r w:rsidRPr="00227C94">
        <w:rPr>
          <w:color w:val="auto"/>
          <w:spacing w:val="-3"/>
          <w:lang w:val="en-US"/>
        </w:rPr>
        <w:t xml:space="preserve">The following table sets forth impairment recognised by the Group for the 6 months ended 30 June 2012 </w:t>
      </w:r>
      <w:r w:rsidRPr="00227C94">
        <w:rPr>
          <w:color w:val="auto"/>
          <w:lang w:val="en-US"/>
        </w:rPr>
        <w:t>and 30 June 2011, and for the year ended 31 December 2011:</w:t>
      </w:r>
    </w:p>
    <w:p w:rsidR="00916675" w:rsidRPr="00227C94" w:rsidRDefault="00916675" w:rsidP="00926E49">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2928"/>
        <w:gridCol w:w="1417"/>
        <w:gridCol w:w="113"/>
        <w:gridCol w:w="1417"/>
        <w:gridCol w:w="113"/>
        <w:gridCol w:w="1417"/>
        <w:gridCol w:w="113"/>
        <w:gridCol w:w="1417"/>
      </w:tblGrid>
      <w:tr w:rsidR="00926E49" w:rsidRPr="00227C94" w:rsidTr="00A701F4">
        <w:trPr>
          <w:cantSplit/>
        </w:trPr>
        <w:tc>
          <w:tcPr>
            <w:tcW w:w="2928" w:type="dxa"/>
            <w:tcBorders>
              <w:top w:val="nil"/>
              <w:left w:val="nil"/>
              <w:bottom w:val="nil"/>
              <w:right w:val="nil"/>
            </w:tcBorders>
          </w:tcPr>
          <w:p w:rsidR="00926E49" w:rsidRPr="00227C94" w:rsidRDefault="00926E49" w:rsidP="00926E49">
            <w:pPr>
              <w:pStyle w:val="tblHeaderText"/>
              <w:jc w:val="left"/>
              <w:rPr>
                <w:lang w:val="en-US"/>
              </w:rPr>
            </w:pPr>
          </w:p>
        </w:tc>
        <w:tc>
          <w:tcPr>
            <w:tcW w:w="2947" w:type="dxa"/>
            <w:gridSpan w:val="3"/>
            <w:tcBorders>
              <w:top w:val="nil"/>
              <w:left w:val="nil"/>
              <w:bottom w:val="single" w:sz="6" w:space="0" w:color="auto"/>
              <w:right w:val="nil"/>
            </w:tcBorders>
            <w:shd w:val="clear" w:color="auto" w:fill="auto"/>
            <w:vAlign w:val="bottom"/>
          </w:tcPr>
          <w:p w:rsidR="00926E49" w:rsidRPr="00227C94" w:rsidRDefault="00926E49" w:rsidP="00926E49">
            <w:pPr>
              <w:pStyle w:val="tblHeaderText"/>
            </w:pPr>
            <w:r w:rsidRPr="00227C94">
              <w:t>Six months ended 30 June</w:t>
            </w:r>
          </w:p>
        </w:tc>
        <w:tc>
          <w:tcPr>
            <w:tcW w:w="113" w:type="dxa"/>
            <w:tcBorders>
              <w:top w:val="nil"/>
              <w:left w:val="nil"/>
              <w:bottom w:val="nil"/>
              <w:right w:val="nil"/>
            </w:tcBorders>
            <w:vAlign w:val="bottom"/>
          </w:tcPr>
          <w:p w:rsidR="00926E49" w:rsidRPr="00227C94" w:rsidRDefault="00926E49" w:rsidP="00926E49">
            <w:pPr>
              <w:pStyle w:val="tblHeaderText"/>
            </w:pPr>
          </w:p>
        </w:tc>
        <w:tc>
          <w:tcPr>
            <w:tcW w:w="1417" w:type="dxa"/>
            <w:tcBorders>
              <w:top w:val="nil"/>
              <w:left w:val="nil"/>
              <w:right w:val="nil"/>
            </w:tcBorders>
            <w:vAlign w:val="bottom"/>
          </w:tcPr>
          <w:p w:rsidR="0054138A" w:rsidRPr="00227C94" w:rsidRDefault="00926E49" w:rsidP="00926E49">
            <w:pPr>
              <w:pStyle w:val="tblHeaderText"/>
              <w:rPr>
                <w:lang w:val="en-US"/>
              </w:rPr>
            </w:pPr>
            <w:r w:rsidRPr="00227C94">
              <w:t xml:space="preserve">% </w:t>
            </w:r>
          </w:p>
          <w:p w:rsidR="00926E49" w:rsidRPr="00227C94" w:rsidRDefault="00926E49" w:rsidP="00926E49">
            <w:pPr>
              <w:pStyle w:val="tblHeaderText"/>
            </w:pPr>
            <w:r w:rsidRPr="00227C94">
              <w:t>change</w:t>
            </w:r>
          </w:p>
        </w:tc>
        <w:tc>
          <w:tcPr>
            <w:tcW w:w="113" w:type="dxa"/>
            <w:tcBorders>
              <w:top w:val="nil"/>
              <w:left w:val="nil"/>
              <w:bottom w:val="nil"/>
              <w:right w:val="nil"/>
            </w:tcBorders>
            <w:vAlign w:val="bottom"/>
          </w:tcPr>
          <w:p w:rsidR="00926E49" w:rsidRPr="00227C94" w:rsidRDefault="00926E49" w:rsidP="00926E49">
            <w:pPr>
              <w:pStyle w:val="tblHeaderText"/>
            </w:pPr>
          </w:p>
        </w:tc>
        <w:tc>
          <w:tcPr>
            <w:tcW w:w="1417" w:type="dxa"/>
            <w:tcBorders>
              <w:top w:val="nil"/>
              <w:left w:val="nil"/>
              <w:right w:val="nil"/>
            </w:tcBorders>
            <w:vAlign w:val="bottom"/>
          </w:tcPr>
          <w:p w:rsidR="00926E49" w:rsidRPr="00227C94" w:rsidRDefault="00926E49" w:rsidP="00926E49">
            <w:pPr>
              <w:pStyle w:val="tblHeaderText"/>
            </w:pPr>
            <w:r w:rsidRPr="00227C94">
              <w:t>Year ended</w:t>
            </w:r>
          </w:p>
          <w:p w:rsidR="00926E49" w:rsidRPr="00227C94" w:rsidRDefault="00926E49" w:rsidP="00926E49">
            <w:pPr>
              <w:pStyle w:val="tblHeaderText"/>
            </w:pPr>
            <w:r w:rsidRPr="00227C94">
              <w:t>31 December</w:t>
            </w:r>
          </w:p>
        </w:tc>
      </w:tr>
      <w:tr w:rsidR="00926E49" w:rsidRPr="00227C94" w:rsidTr="00A701F4">
        <w:trPr>
          <w:cantSplit/>
        </w:trPr>
        <w:tc>
          <w:tcPr>
            <w:tcW w:w="2928" w:type="dxa"/>
            <w:tcBorders>
              <w:top w:val="nil"/>
              <w:left w:val="nil"/>
              <w:bottom w:val="nil"/>
              <w:right w:val="nil"/>
            </w:tcBorders>
          </w:tcPr>
          <w:p w:rsidR="00926E49" w:rsidRPr="00227C94" w:rsidRDefault="00926E49" w:rsidP="00926E49">
            <w:pPr>
              <w:pStyle w:val="tblHeaderText"/>
              <w:jc w:val="left"/>
            </w:pPr>
            <w:r w:rsidRPr="00227C94">
              <w:t>USD’000</w:t>
            </w:r>
          </w:p>
        </w:tc>
        <w:tc>
          <w:tcPr>
            <w:tcW w:w="1417" w:type="dxa"/>
            <w:tcBorders>
              <w:top w:val="single" w:sz="6" w:space="0" w:color="auto"/>
              <w:left w:val="nil"/>
              <w:bottom w:val="single" w:sz="6" w:space="0" w:color="auto"/>
              <w:right w:val="nil"/>
            </w:tcBorders>
            <w:shd w:val="clear" w:color="auto" w:fill="auto"/>
          </w:tcPr>
          <w:p w:rsidR="00926E49" w:rsidRPr="00227C94" w:rsidRDefault="00926E49" w:rsidP="0096037B">
            <w:pPr>
              <w:pStyle w:val="tblHeaderText"/>
            </w:pPr>
            <w:r w:rsidRPr="00227C94">
              <w:t>2012</w:t>
            </w:r>
          </w:p>
        </w:tc>
        <w:tc>
          <w:tcPr>
            <w:tcW w:w="113" w:type="dxa"/>
            <w:tcBorders>
              <w:top w:val="single" w:sz="6" w:space="0" w:color="auto"/>
              <w:left w:val="nil"/>
              <w:bottom w:val="nil"/>
              <w:right w:val="nil"/>
            </w:tcBorders>
            <w:shd w:val="clear" w:color="auto" w:fill="auto"/>
          </w:tcPr>
          <w:p w:rsidR="00926E49" w:rsidRPr="00227C94" w:rsidRDefault="00926E49" w:rsidP="0096037B">
            <w:pPr>
              <w:pStyle w:val="tblHeaderText"/>
            </w:pPr>
          </w:p>
        </w:tc>
        <w:tc>
          <w:tcPr>
            <w:tcW w:w="1417" w:type="dxa"/>
            <w:tcBorders>
              <w:top w:val="single" w:sz="6" w:space="0" w:color="auto"/>
              <w:left w:val="nil"/>
              <w:bottom w:val="single" w:sz="6" w:space="0" w:color="auto"/>
              <w:right w:val="nil"/>
            </w:tcBorders>
            <w:shd w:val="clear" w:color="auto" w:fill="auto"/>
          </w:tcPr>
          <w:p w:rsidR="00926E49" w:rsidRPr="00227C94" w:rsidRDefault="00926E49" w:rsidP="0096037B">
            <w:pPr>
              <w:pStyle w:val="tblHeaderText"/>
            </w:pPr>
            <w:r w:rsidRPr="00227C94">
              <w:t>2011</w:t>
            </w:r>
          </w:p>
        </w:tc>
        <w:tc>
          <w:tcPr>
            <w:tcW w:w="113" w:type="dxa"/>
            <w:tcBorders>
              <w:top w:val="nil"/>
              <w:left w:val="nil"/>
              <w:right w:val="nil"/>
            </w:tcBorders>
          </w:tcPr>
          <w:p w:rsidR="00926E49" w:rsidRPr="00227C94" w:rsidRDefault="00926E49" w:rsidP="0096037B">
            <w:pPr>
              <w:pStyle w:val="tblHeaderText"/>
            </w:pPr>
          </w:p>
        </w:tc>
        <w:tc>
          <w:tcPr>
            <w:tcW w:w="1417" w:type="dxa"/>
            <w:tcBorders>
              <w:top w:val="nil"/>
              <w:left w:val="nil"/>
              <w:bottom w:val="single" w:sz="6" w:space="0" w:color="auto"/>
              <w:right w:val="nil"/>
            </w:tcBorders>
            <w:shd w:val="clear" w:color="auto" w:fill="auto"/>
          </w:tcPr>
          <w:p w:rsidR="00926E49" w:rsidRPr="00227C94" w:rsidRDefault="00926E49" w:rsidP="0096037B">
            <w:pPr>
              <w:pStyle w:val="tblHeaderText"/>
            </w:pPr>
            <w:r w:rsidRPr="00227C94">
              <w:t>p-o-p</w:t>
            </w:r>
          </w:p>
        </w:tc>
        <w:tc>
          <w:tcPr>
            <w:tcW w:w="113" w:type="dxa"/>
            <w:tcBorders>
              <w:top w:val="nil"/>
              <w:left w:val="nil"/>
              <w:right w:val="nil"/>
            </w:tcBorders>
          </w:tcPr>
          <w:p w:rsidR="00926E49" w:rsidRPr="00227C94" w:rsidRDefault="00926E49" w:rsidP="0096037B">
            <w:pPr>
              <w:pStyle w:val="tblHeaderText"/>
            </w:pPr>
          </w:p>
        </w:tc>
        <w:tc>
          <w:tcPr>
            <w:tcW w:w="1417" w:type="dxa"/>
            <w:tcBorders>
              <w:top w:val="nil"/>
              <w:left w:val="nil"/>
              <w:bottom w:val="single" w:sz="6" w:space="0" w:color="auto"/>
              <w:right w:val="nil"/>
            </w:tcBorders>
            <w:shd w:val="clear" w:color="auto" w:fill="auto"/>
          </w:tcPr>
          <w:p w:rsidR="00926E49" w:rsidRPr="00227C94" w:rsidRDefault="00926E49" w:rsidP="0096037B">
            <w:pPr>
              <w:pStyle w:val="tblHeaderText"/>
            </w:pPr>
            <w:r w:rsidRPr="00227C94">
              <w:t>2011</w:t>
            </w:r>
          </w:p>
        </w:tc>
      </w:tr>
      <w:tr w:rsidR="00926E49" w:rsidRPr="00227C94" w:rsidTr="00A701F4">
        <w:trPr>
          <w:cantSplit/>
        </w:trPr>
        <w:tc>
          <w:tcPr>
            <w:tcW w:w="2928" w:type="dxa"/>
            <w:tcBorders>
              <w:top w:val="nil"/>
              <w:left w:val="nil"/>
              <w:bottom w:val="nil"/>
              <w:right w:val="nil"/>
            </w:tcBorders>
          </w:tcPr>
          <w:p w:rsidR="00926E49" w:rsidRPr="00227C94" w:rsidRDefault="00926E49" w:rsidP="00926E49">
            <w:pPr>
              <w:pStyle w:val="tblHeaderText"/>
              <w:jc w:val="left"/>
            </w:pPr>
          </w:p>
        </w:tc>
        <w:tc>
          <w:tcPr>
            <w:tcW w:w="1417" w:type="dxa"/>
            <w:tcBorders>
              <w:top w:val="single" w:sz="6" w:space="0" w:color="auto"/>
              <w:left w:val="nil"/>
              <w:bottom w:val="nil"/>
              <w:right w:val="nil"/>
            </w:tcBorders>
            <w:shd w:val="clear" w:color="auto" w:fill="auto"/>
          </w:tcPr>
          <w:p w:rsidR="00926E49" w:rsidRPr="00227C94" w:rsidRDefault="00926E49" w:rsidP="00926E49">
            <w:pPr>
              <w:pStyle w:val="tblHeaderText"/>
            </w:pPr>
          </w:p>
        </w:tc>
        <w:tc>
          <w:tcPr>
            <w:tcW w:w="113" w:type="dxa"/>
            <w:tcBorders>
              <w:top w:val="nil"/>
              <w:left w:val="nil"/>
              <w:bottom w:val="nil"/>
              <w:right w:val="nil"/>
            </w:tcBorders>
          </w:tcPr>
          <w:p w:rsidR="00926E49" w:rsidRPr="00227C94" w:rsidRDefault="00926E49" w:rsidP="00926E49">
            <w:pPr>
              <w:pStyle w:val="tblHeaderText"/>
            </w:pPr>
          </w:p>
        </w:tc>
        <w:tc>
          <w:tcPr>
            <w:tcW w:w="1417" w:type="dxa"/>
            <w:tcBorders>
              <w:top w:val="single" w:sz="6" w:space="0" w:color="auto"/>
              <w:left w:val="nil"/>
              <w:bottom w:val="nil"/>
              <w:right w:val="nil"/>
            </w:tcBorders>
            <w:shd w:val="clear" w:color="auto" w:fill="auto"/>
          </w:tcPr>
          <w:p w:rsidR="00926E49" w:rsidRPr="00227C94" w:rsidRDefault="00926E49" w:rsidP="00926E49">
            <w:pPr>
              <w:pStyle w:val="tblHeaderText"/>
            </w:pPr>
          </w:p>
        </w:tc>
        <w:tc>
          <w:tcPr>
            <w:tcW w:w="113" w:type="dxa"/>
            <w:tcBorders>
              <w:left w:val="nil"/>
              <w:bottom w:val="nil"/>
              <w:right w:val="nil"/>
            </w:tcBorders>
            <w:shd w:val="clear" w:color="auto" w:fill="auto"/>
          </w:tcPr>
          <w:p w:rsidR="00926E49" w:rsidRPr="00227C94" w:rsidRDefault="00926E49" w:rsidP="00926E49">
            <w:pPr>
              <w:pStyle w:val="tblHeaderText"/>
            </w:pPr>
          </w:p>
        </w:tc>
        <w:tc>
          <w:tcPr>
            <w:tcW w:w="1417" w:type="dxa"/>
            <w:tcBorders>
              <w:top w:val="single" w:sz="6" w:space="0" w:color="auto"/>
              <w:left w:val="nil"/>
              <w:bottom w:val="nil"/>
              <w:right w:val="nil"/>
            </w:tcBorders>
            <w:shd w:val="clear" w:color="auto" w:fill="auto"/>
          </w:tcPr>
          <w:p w:rsidR="00926E49" w:rsidRPr="00227C94" w:rsidRDefault="00926E49" w:rsidP="00926E49">
            <w:pPr>
              <w:pStyle w:val="tblHeaderText"/>
            </w:pPr>
          </w:p>
        </w:tc>
        <w:tc>
          <w:tcPr>
            <w:tcW w:w="113" w:type="dxa"/>
            <w:tcBorders>
              <w:left w:val="nil"/>
              <w:bottom w:val="nil"/>
              <w:right w:val="nil"/>
            </w:tcBorders>
            <w:shd w:val="clear" w:color="auto" w:fill="auto"/>
          </w:tcPr>
          <w:p w:rsidR="00926E49" w:rsidRPr="00227C94" w:rsidRDefault="00926E49" w:rsidP="00926E49">
            <w:pPr>
              <w:pStyle w:val="tblHeaderText"/>
            </w:pPr>
          </w:p>
        </w:tc>
        <w:tc>
          <w:tcPr>
            <w:tcW w:w="1417" w:type="dxa"/>
            <w:tcBorders>
              <w:top w:val="single" w:sz="6" w:space="0" w:color="auto"/>
              <w:left w:val="nil"/>
              <w:bottom w:val="nil"/>
              <w:right w:val="nil"/>
            </w:tcBorders>
            <w:shd w:val="clear" w:color="auto" w:fill="auto"/>
          </w:tcPr>
          <w:p w:rsidR="00926E49" w:rsidRPr="00227C94" w:rsidRDefault="00926E49" w:rsidP="00926E49">
            <w:pPr>
              <w:pStyle w:val="tblHeaderText"/>
            </w:pPr>
          </w:p>
        </w:tc>
      </w:tr>
      <w:tr w:rsidR="00926E49" w:rsidRPr="00227C94" w:rsidTr="00926E49">
        <w:trPr>
          <w:cantSplit/>
        </w:trPr>
        <w:tc>
          <w:tcPr>
            <w:tcW w:w="2928" w:type="dxa"/>
            <w:tcBorders>
              <w:top w:val="nil"/>
              <w:left w:val="nil"/>
              <w:bottom w:val="nil"/>
              <w:right w:val="nil"/>
            </w:tcBorders>
            <w:vAlign w:val="center"/>
          </w:tcPr>
          <w:p w:rsidR="00926E49" w:rsidRPr="00227C94" w:rsidRDefault="00926E49" w:rsidP="00926E49">
            <w:pPr>
              <w:pStyle w:val="tblText02"/>
            </w:pPr>
            <w:r w:rsidRPr="00227C94">
              <w:t>Impairment of stockpiles</w:t>
            </w:r>
          </w:p>
        </w:tc>
        <w:tc>
          <w:tcPr>
            <w:tcW w:w="1417" w:type="dxa"/>
            <w:tcBorders>
              <w:top w:val="nil"/>
              <w:left w:val="nil"/>
              <w:bottom w:val="nil"/>
              <w:right w:val="nil"/>
            </w:tcBorders>
            <w:vAlign w:val="bottom"/>
          </w:tcPr>
          <w:p w:rsidR="00926E49" w:rsidRPr="00227C94" w:rsidRDefault="00926E49" w:rsidP="00926E49">
            <w:pPr>
              <w:pStyle w:val="tblNumberDash"/>
            </w:pPr>
            <w:r w:rsidRPr="00227C94">
              <w:t>-</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nil"/>
              <w:right w:val="nil"/>
            </w:tcBorders>
            <w:vAlign w:val="bottom"/>
          </w:tcPr>
          <w:p w:rsidR="00926E49" w:rsidRPr="00227C94" w:rsidRDefault="00926E49" w:rsidP="00926E49">
            <w:pPr>
              <w:pStyle w:val="tblNumber01"/>
            </w:pPr>
            <w:r w:rsidRPr="00227C94">
              <w:t>25,881</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nil"/>
              <w:right w:val="nil"/>
            </w:tcBorders>
            <w:vAlign w:val="bottom"/>
          </w:tcPr>
          <w:p w:rsidR="00926E49" w:rsidRPr="00227C94" w:rsidRDefault="00926E49" w:rsidP="00926E49">
            <w:pPr>
              <w:pStyle w:val="tblNumberDash"/>
            </w:pPr>
            <w:r w:rsidRPr="00227C94">
              <w:t>-</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nil"/>
              <w:right w:val="nil"/>
            </w:tcBorders>
            <w:vAlign w:val="bottom"/>
          </w:tcPr>
          <w:p w:rsidR="00926E49" w:rsidRPr="00227C94" w:rsidRDefault="00926E49" w:rsidP="00926E49">
            <w:pPr>
              <w:pStyle w:val="tblNumber01"/>
            </w:pPr>
            <w:r w:rsidRPr="00227C94">
              <w:t>25,209</w:t>
            </w:r>
          </w:p>
        </w:tc>
      </w:tr>
      <w:tr w:rsidR="00926E49" w:rsidRPr="00227C94" w:rsidTr="00A701F4">
        <w:trPr>
          <w:cantSplit/>
        </w:trPr>
        <w:tc>
          <w:tcPr>
            <w:tcW w:w="2928" w:type="dxa"/>
            <w:tcBorders>
              <w:top w:val="nil"/>
              <w:left w:val="nil"/>
              <w:bottom w:val="nil"/>
              <w:right w:val="nil"/>
            </w:tcBorders>
            <w:vAlign w:val="center"/>
          </w:tcPr>
          <w:p w:rsidR="00926E49" w:rsidRPr="00227C94" w:rsidRDefault="00926E49" w:rsidP="00926E49">
            <w:pPr>
              <w:pStyle w:val="tblText02"/>
              <w:rPr>
                <w:lang w:val="en-US"/>
              </w:rPr>
            </w:pPr>
            <w:r w:rsidRPr="00227C94">
              <w:rPr>
                <w:lang w:val="en-US"/>
              </w:rPr>
              <w:t>Impairment of exploration and evaluation assets</w:t>
            </w:r>
          </w:p>
        </w:tc>
        <w:tc>
          <w:tcPr>
            <w:tcW w:w="1417" w:type="dxa"/>
            <w:tcBorders>
              <w:top w:val="nil"/>
              <w:left w:val="nil"/>
              <w:right w:val="nil"/>
            </w:tcBorders>
            <w:vAlign w:val="bottom"/>
          </w:tcPr>
          <w:p w:rsidR="00926E49" w:rsidRPr="00227C94" w:rsidRDefault="00926E49" w:rsidP="00926E49">
            <w:pPr>
              <w:pStyle w:val="tblNumber01"/>
            </w:pPr>
            <w:r w:rsidRPr="00227C94">
              <w:t>243</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right w:val="nil"/>
            </w:tcBorders>
            <w:vAlign w:val="bottom"/>
          </w:tcPr>
          <w:p w:rsidR="00926E49" w:rsidRPr="00227C94" w:rsidRDefault="00926E49" w:rsidP="00926E49">
            <w:pPr>
              <w:pStyle w:val="tblNumber01"/>
            </w:pPr>
            <w:r w:rsidRPr="00227C94">
              <w:t>15,100</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right w:val="nil"/>
            </w:tcBorders>
            <w:vAlign w:val="bottom"/>
          </w:tcPr>
          <w:p w:rsidR="00926E49" w:rsidRPr="00227C94" w:rsidRDefault="00926E49" w:rsidP="00926E49">
            <w:pPr>
              <w:pStyle w:val="tblNumber00"/>
            </w:pPr>
            <w:r w:rsidRPr="00227C94">
              <w:t>(98)</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right w:val="nil"/>
            </w:tcBorders>
            <w:vAlign w:val="bottom"/>
          </w:tcPr>
          <w:p w:rsidR="00926E49" w:rsidRPr="00227C94" w:rsidRDefault="00926E49" w:rsidP="00926E49">
            <w:pPr>
              <w:pStyle w:val="tblNumber01"/>
            </w:pPr>
            <w:r w:rsidRPr="00227C94">
              <w:t>54,708</w:t>
            </w:r>
          </w:p>
        </w:tc>
      </w:tr>
      <w:tr w:rsidR="00926E49" w:rsidRPr="00227C94" w:rsidTr="00A701F4">
        <w:trPr>
          <w:cantSplit/>
        </w:trPr>
        <w:tc>
          <w:tcPr>
            <w:tcW w:w="2928" w:type="dxa"/>
            <w:tcBorders>
              <w:top w:val="nil"/>
              <w:left w:val="nil"/>
              <w:bottom w:val="nil"/>
              <w:right w:val="nil"/>
            </w:tcBorders>
            <w:vAlign w:val="center"/>
          </w:tcPr>
          <w:p w:rsidR="00926E49" w:rsidRPr="00227C94" w:rsidRDefault="00926E49" w:rsidP="00926E49">
            <w:pPr>
              <w:pStyle w:val="tblText02"/>
              <w:rPr>
                <w:lang w:val="en-US"/>
              </w:rPr>
            </w:pPr>
            <w:r w:rsidRPr="00227C94">
              <w:rPr>
                <w:lang w:val="en-US"/>
              </w:rPr>
              <w:t>Impairment of property, plant and equipment</w:t>
            </w:r>
          </w:p>
        </w:tc>
        <w:tc>
          <w:tcPr>
            <w:tcW w:w="1417" w:type="dxa"/>
            <w:tcBorders>
              <w:top w:val="nil"/>
              <w:left w:val="nil"/>
              <w:bottom w:val="single" w:sz="6" w:space="0" w:color="auto"/>
              <w:right w:val="nil"/>
            </w:tcBorders>
            <w:shd w:val="clear" w:color="auto" w:fill="auto"/>
            <w:vAlign w:val="bottom"/>
          </w:tcPr>
          <w:p w:rsidR="00926E49" w:rsidRPr="00227C94" w:rsidRDefault="00926E49" w:rsidP="00926E49">
            <w:pPr>
              <w:pStyle w:val="tblNumber01"/>
            </w:pPr>
            <w:r w:rsidRPr="00227C94">
              <w:t>17,316</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single" w:sz="6" w:space="0" w:color="auto"/>
              <w:right w:val="nil"/>
            </w:tcBorders>
            <w:shd w:val="clear" w:color="auto" w:fill="auto"/>
            <w:vAlign w:val="bottom"/>
          </w:tcPr>
          <w:p w:rsidR="00926E49" w:rsidRPr="00227C94" w:rsidRDefault="00926E49" w:rsidP="00926E49">
            <w:pPr>
              <w:pStyle w:val="tblNumber01"/>
            </w:pPr>
            <w:r w:rsidRPr="00227C94">
              <w:t>7,644</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single" w:sz="6" w:space="0" w:color="auto"/>
              <w:right w:val="nil"/>
            </w:tcBorders>
            <w:shd w:val="clear" w:color="auto" w:fill="auto"/>
            <w:vAlign w:val="bottom"/>
          </w:tcPr>
          <w:p w:rsidR="00926E49" w:rsidRPr="00227C94" w:rsidRDefault="00926E49" w:rsidP="00926E49">
            <w:pPr>
              <w:pStyle w:val="tblNumber01"/>
            </w:pPr>
            <w:r w:rsidRPr="00227C94">
              <w:t>127</w:t>
            </w: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nil"/>
              <w:left w:val="nil"/>
              <w:bottom w:val="single" w:sz="6" w:space="0" w:color="auto"/>
              <w:right w:val="nil"/>
            </w:tcBorders>
            <w:shd w:val="clear" w:color="auto" w:fill="auto"/>
            <w:vAlign w:val="bottom"/>
          </w:tcPr>
          <w:p w:rsidR="00926E49" w:rsidRPr="00227C94" w:rsidRDefault="00926E49" w:rsidP="00926E49">
            <w:pPr>
              <w:pStyle w:val="tblNumber01"/>
            </w:pPr>
            <w:r w:rsidRPr="00227C94">
              <w:t>23,501</w:t>
            </w:r>
          </w:p>
        </w:tc>
      </w:tr>
      <w:tr w:rsidR="00926E49" w:rsidRPr="00227C94" w:rsidTr="00A701F4">
        <w:trPr>
          <w:cantSplit/>
        </w:trPr>
        <w:tc>
          <w:tcPr>
            <w:tcW w:w="2928" w:type="dxa"/>
            <w:tcBorders>
              <w:top w:val="nil"/>
              <w:left w:val="nil"/>
              <w:bottom w:val="nil"/>
              <w:right w:val="nil"/>
            </w:tcBorders>
            <w:vAlign w:val="center"/>
          </w:tcPr>
          <w:p w:rsidR="00926E49" w:rsidRPr="00227C94" w:rsidRDefault="00926E49" w:rsidP="00926E49">
            <w:pPr>
              <w:pStyle w:val="tblText02"/>
            </w:pPr>
          </w:p>
        </w:tc>
        <w:tc>
          <w:tcPr>
            <w:tcW w:w="1417" w:type="dxa"/>
            <w:tcBorders>
              <w:top w:val="single" w:sz="6" w:space="0" w:color="auto"/>
              <w:left w:val="nil"/>
              <w:right w:val="nil"/>
            </w:tcBorders>
            <w:shd w:val="clear" w:color="auto" w:fill="auto"/>
            <w:vAlign w:val="bottom"/>
          </w:tcPr>
          <w:p w:rsidR="00926E49" w:rsidRPr="00227C94" w:rsidRDefault="00926E49" w:rsidP="00926E49">
            <w:pPr>
              <w:pStyle w:val="tblNumber01"/>
            </w:pP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single" w:sz="6" w:space="0" w:color="auto"/>
              <w:left w:val="nil"/>
              <w:right w:val="nil"/>
            </w:tcBorders>
            <w:shd w:val="clear" w:color="auto" w:fill="auto"/>
            <w:vAlign w:val="bottom"/>
          </w:tcPr>
          <w:p w:rsidR="00926E49" w:rsidRPr="00227C94" w:rsidRDefault="00926E49" w:rsidP="00926E49">
            <w:pPr>
              <w:pStyle w:val="tblNumber01"/>
            </w:pP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single" w:sz="6" w:space="0" w:color="auto"/>
              <w:left w:val="nil"/>
              <w:right w:val="nil"/>
            </w:tcBorders>
            <w:shd w:val="clear" w:color="auto" w:fill="auto"/>
            <w:vAlign w:val="bottom"/>
          </w:tcPr>
          <w:p w:rsidR="00926E49" w:rsidRPr="00227C94" w:rsidRDefault="00926E49" w:rsidP="00926E49">
            <w:pPr>
              <w:pStyle w:val="tblNumber01"/>
            </w:pPr>
          </w:p>
        </w:tc>
        <w:tc>
          <w:tcPr>
            <w:tcW w:w="113" w:type="dxa"/>
            <w:tcBorders>
              <w:top w:val="nil"/>
              <w:left w:val="nil"/>
              <w:bottom w:val="nil"/>
              <w:right w:val="nil"/>
            </w:tcBorders>
            <w:vAlign w:val="bottom"/>
          </w:tcPr>
          <w:p w:rsidR="00926E49" w:rsidRPr="00227C94" w:rsidRDefault="00926E49" w:rsidP="00926E49">
            <w:pPr>
              <w:pStyle w:val="tblNumber01"/>
            </w:pPr>
          </w:p>
        </w:tc>
        <w:tc>
          <w:tcPr>
            <w:tcW w:w="1417" w:type="dxa"/>
            <w:tcBorders>
              <w:top w:val="single" w:sz="6" w:space="0" w:color="auto"/>
              <w:left w:val="nil"/>
              <w:right w:val="nil"/>
            </w:tcBorders>
            <w:shd w:val="clear" w:color="auto" w:fill="auto"/>
            <w:vAlign w:val="bottom"/>
          </w:tcPr>
          <w:p w:rsidR="00926E49" w:rsidRPr="00227C94" w:rsidRDefault="00926E49" w:rsidP="00926E49">
            <w:pPr>
              <w:pStyle w:val="tblNumber01"/>
            </w:pPr>
          </w:p>
        </w:tc>
      </w:tr>
      <w:tr w:rsidR="00926E49" w:rsidRPr="00227C94" w:rsidTr="00926E49">
        <w:trPr>
          <w:cantSplit/>
        </w:trPr>
        <w:tc>
          <w:tcPr>
            <w:tcW w:w="2928" w:type="dxa"/>
            <w:tcBorders>
              <w:top w:val="nil"/>
              <w:left w:val="nil"/>
              <w:bottom w:val="nil"/>
              <w:right w:val="nil"/>
            </w:tcBorders>
          </w:tcPr>
          <w:p w:rsidR="00926E49" w:rsidRPr="00227C94" w:rsidRDefault="00926E49" w:rsidP="00926E49">
            <w:pPr>
              <w:pStyle w:val="tblText02"/>
              <w:rPr>
                <w:b/>
              </w:rPr>
            </w:pPr>
            <w:r w:rsidRPr="00227C94">
              <w:rPr>
                <w:b/>
              </w:rPr>
              <w:t>Total</w:t>
            </w:r>
          </w:p>
        </w:tc>
        <w:tc>
          <w:tcPr>
            <w:tcW w:w="1417" w:type="dxa"/>
            <w:tcBorders>
              <w:top w:val="nil"/>
              <w:left w:val="nil"/>
              <w:bottom w:val="double" w:sz="6" w:space="0" w:color="auto"/>
              <w:right w:val="nil"/>
            </w:tcBorders>
            <w:shd w:val="clear" w:color="auto" w:fill="auto"/>
            <w:vAlign w:val="bottom"/>
          </w:tcPr>
          <w:p w:rsidR="00926E49" w:rsidRPr="00227C94" w:rsidRDefault="00926E49" w:rsidP="00926E49">
            <w:pPr>
              <w:pStyle w:val="tblNumber01"/>
              <w:rPr>
                <w:b/>
              </w:rPr>
            </w:pPr>
            <w:r w:rsidRPr="00227C94">
              <w:rPr>
                <w:b/>
              </w:rPr>
              <w:t>17,559</w:t>
            </w:r>
          </w:p>
        </w:tc>
        <w:tc>
          <w:tcPr>
            <w:tcW w:w="113" w:type="dxa"/>
            <w:tcBorders>
              <w:top w:val="nil"/>
              <w:left w:val="nil"/>
              <w:bottom w:val="nil"/>
              <w:right w:val="nil"/>
            </w:tcBorders>
            <w:vAlign w:val="bottom"/>
          </w:tcPr>
          <w:p w:rsidR="00926E49" w:rsidRPr="00227C94" w:rsidRDefault="00926E49" w:rsidP="00926E49">
            <w:pPr>
              <w:pStyle w:val="tblNumber01"/>
              <w:rPr>
                <w:b/>
              </w:rPr>
            </w:pPr>
          </w:p>
        </w:tc>
        <w:tc>
          <w:tcPr>
            <w:tcW w:w="1417" w:type="dxa"/>
            <w:tcBorders>
              <w:top w:val="nil"/>
              <w:left w:val="nil"/>
              <w:bottom w:val="double" w:sz="6" w:space="0" w:color="auto"/>
              <w:right w:val="nil"/>
            </w:tcBorders>
            <w:shd w:val="clear" w:color="auto" w:fill="auto"/>
            <w:vAlign w:val="bottom"/>
          </w:tcPr>
          <w:p w:rsidR="00926E49" w:rsidRPr="00227C94" w:rsidRDefault="00926E49" w:rsidP="00926E49">
            <w:pPr>
              <w:pStyle w:val="tblNumber01"/>
              <w:rPr>
                <w:b/>
              </w:rPr>
            </w:pPr>
            <w:r w:rsidRPr="00227C94">
              <w:rPr>
                <w:b/>
              </w:rPr>
              <w:t>48,625</w:t>
            </w:r>
          </w:p>
        </w:tc>
        <w:tc>
          <w:tcPr>
            <w:tcW w:w="113" w:type="dxa"/>
            <w:tcBorders>
              <w:top w:val="nil"/>
              <w:left w:val="nil"/>
              <w:bottom w:val="nil"/>
              <w:right w:val="nil"/>
            </w:tcBorders>
            <w:vAlign w:val="bottom"/>
          </w:tcPr>
          <w:p w:rsidR="00926E49" w:rsidRPr="00227C94" w:rsidRDefault="00926E49" w:rsidP="00926E49">
            <w:pPr>
              <w:pStyle w:val="tblNumber01"/>
              <w:rPr>
                <w:b/>
              </w:rPr>
            </w:pPr>
          </w:p>
        </w:tc>
        <w:tc>
          <w:tcPr>
            <w:tcW w:w="1417" w:type="dxa"/>
            <w:tcBorders>
              <w:top w:val="nil"/>
              <w:left w:val="nil"/>
              <w:bottom w:val="double" w:sz="6" w:space="0" w:color="auto"/>
              <w:right w:val="nil"/>
            </w:tcBorders>
            <w:shd w:val="clear" w:color="auto" w:fill="auto"/>
            <w:vAlign w:val="bottom"/>
          </w:tcPr>
          <w:p w:rsidR="00926E49" w:rsidRPr="00227C94" w:rsidRDefault="00926E49" w:rsidP="00926E49">
            <w:pPr>
              <w:pStyle w:val="tblNumber00"/>
              <w:rPr>
                <w:b/>
              </w:rPr>
            </w:pPr>
            <w:r w:rsidRPr="00227C94">
              <w:rPr>
                <w:b/>
              </w:rPr>
              <w:t>(64)</w:t>
            </w:r>
          </w:p>
        </w:tc>
        <w:tc>
          <w:tcPr>
            <w:tcW w:w="113" w:type="dxa"/>
            <w:tcBorders>
              <w:top w:val="nil"/>
              <w:left w:val="nil"/>
              <w:bottom w:val="nil"/>
              <w:right w:val="nil"/>
            </w:tcBorders>
            <w:vAlign w:val="bottom"/>
          </w:tcPr>
          <w:p w:rsidR="00926E49" w:rsidRPr="00227C94" w:rsidRDefault="00926E49" w:rsidP="00926E49">
            <w:pPr>
              <w:pStyle w:val="tblNumber01"/>
              <w:rPr>
                <w:b/>
              </w:rPr>
            </w:pPr>
          </w:p>
        </w:tc>
        <w:tc>
          <w:tcPr>
            <w:tcW w:w="1417" w:type="dxa"/>
            <w:tcBorders>
              <w:top w:val="nil"/>
              <w:left w:val="nil"/>
              <w:bottom w:val="double" w:sz="6" w:space="0" w:color="auto"/>
              <w:right w:val="nil"/>
            </w:tcBorders>
            <w:shd w:val="clear" w:color="auto" w:fill="auto"/>
            <w:vAlign w:val="bottom"/>
          </w:tcPr>
          <w:p w:rsidR="00926E49" w:rsidRPr="00227C94" w:rsidRDefault="00926E49" w:rsidP="00926E49">
            <w:pPr>
              <w:pStyle w:val="tblNumber01"/>
              <w:rPr>
                <w:b/>
              </w:rPr>
            </w:pPr>
            <w:r w:rsidRPr="00227C94">
              <w:rPr>
                <w:b/>
              </w:rPr>
              <w:t>103,418</w:t>
            </w:r>
          </w:p>
        </w:tc>
      </w:tr>
    </w:tbl>
    <w:p w:rsidR="00916675" w:rsidRPr="00227C94" w:rsidRDefault="00916675" w:rsidP="00926E49">
      <w:pPr>
        <w:pStyle w:val="23"/>
        <w:rPr>
          <w:color w:val="auto"/>
          <w:lang w:val="en-US"/>
        </w:rPr>
      </w:pPr>
    </w:p>
    <w:p w:rsidR="00926E49" w:rsidRPr="00227C94" w:rsidRDefault="00926E49" w:rsidP="00926E49">
      <w:pPr>
        <w:pStyle w:val="23"/>
        <w:rPr>
          <w:color w:val="auto"/>
          <w:lang w:val="en-US"/>
        </w:rPr>
      </w:pPr>
    </w:p>
    <w:p w:rsidR="00916675" w:rsidRPr="00227C94" w:rsidRDefault="00916675" w:rsidP="00926E49">
      <w:pPr>
        <w:pStyle w:val="23"/>
        <w:rPr>
          <w:color w:val="auto"/>
          <w:lang w:val="en-US"/>
        </w:rPr>
      </w:pPr>
      <w:r w:rsidRPr="00227C94">
        <w:rPr>
          <w:color w:val="auto"/>
          <w:lang w:val="en-US"/>
        </w:rPr>
        <w:t>In H</w:t>
      </w:r>
      <w:r w:rsidR="005E47D3" w:rsidRPr="00227C94">
        <w:rPr>
          <w:color w:val="auto"/>
          <w:lang w:val="en-US"/>
        </w:rPr>
        <w:t>1</w:t>
      </w:r>
      <w:r w:rsidRPr="00227C94">
        <w:rPr>
          <w:color w:val="auto"/>
          <w:lang w:val="en-US"/>
        </w:rPr>
        <w:t xml:space="preserve"> 2012, the Group recognised USD17</w:t>
      </w:r>
      <w:proofErr w:type="gramStart"/>
      <w:r w:rsidRPr="00227C94">
        <w:rPr>
          <w:color w:val="auto"/>
          <w:lang w:val="en-US"/>
        </w:rPr>
        <w:t>,559</w:t>
      </w:r>
      <w:proofErr w:type="gramEnd"/>
      <w:r w:rsidRPr="00227C94">
        <w:rPr>
          <w:color w:val="auto"/>
          <w:lang w:val="en-US"/>
        </w:rPr>
        <w:t xml:space="preserve"> thousand of impairment charges, which was 64% lower than in the same period of 2011. These charges were:</w:t>
      </w:r>
    </w:p>
    <w:p w:rsidR="00926E49" w:rsidRPr="00227C94" w:rsidRDefault="00926E49" w:rsidP="00926E49">
      <w:pPr>
        <w:pStyle w:val="23"/>
        <w:rPr>
          <w:color w:val="auto"/>
          <w:lang w:val="en-US"/>
        </w:rPr>
      </w:pPr>
    </w:p>
    <w:p w:rsidR="00916675" w:rsidRPr="00227C94" w:rsidRDefault="00916675" w:rsidP="00926E49">
      <w:pPr>
        <w:pStyle w:val="31"/>
        <w:rPr>
          <w:lang w:val="en-US"/>
        </w:rPr>
      </w:pPr>
      <w:r w:rsidRPr="00227C94">
        <w:t>Impairment of stockpiles</w:t>
      </w:r>
    </w:p>
    <w:p w:rsidR="00926E49" w:rsidRPr="00227C94" w:rsidRDefault="00926E49" w:rsidP="00926E49">
      <w:pPr>
        <w:pStyle w:val="23"/>
        <w:rPr>
          <w:color w:val="auto"/>
          <w:lang w:val="en-US"/>
        </w:rPr>
      </w:pPr>
    </w:p>
    <w:p w:rsidR="00916675" w:rsidRPr="00227C94" w:rsidRDefault="00916675" w:rsidP="00926E49">
      <w:pPr>
        <w:pStyle w:val="23"/>
        <w:rPr>
          <w:color w:val="auto"/>
          <w:lang w:val="en-US"/>
        </w:rPr>
      </w:pPr>
      <w:r w:rsidRPr="00227C94">
        <w:rPr>
          <w:color w:val="auto"/>
          <w:spacing w:val="-2"/>
          <w:lang w:val="en-US"/>
        </w:rPr>
        <w:t>There was no impairment of stockpiles re</w:t>
      </w:r>
      <w:r w:rsidR="00D2640B" w:rsidRPr="00227C94">
        <w:rPr>
          <w:color w:val="auto"/>
          <w:spacing w:val="-2"/>
          <w:lang w:val="en-US"/>
        </w:rPr>
        <w:t>cog</w:t>
      </w:r>
      <w:r w:rsidRPr="00227C94">
        <w:rPr>
          <w:color w:val="auto"/>
          <w:spacing w:val="-2"/>
          <w:lang w:val="en-US"/>
        </w:rPr>
        <w:t>nised in H1 2012, as compared to a loss on impairment of stockpiles in H1 2011 in the amount of USD25</w:t>
      </w:r>
      <w:proofErr w:type="gramStart"/>
      <w:r w:rsidRPr="00227C94">
        <w:rPr>
          <w:color w:val="auto"/>
          <w:spacing w:val="-2"/>
          <w:lang w:val="en-US"/>
        </w:rPr>
        <w:t>,209</w:t>
      </w:r>
      <w:proofErr w:type="gramEnd"/>
      <w:r w:rsidRPr="00227C94">
        <w:rPr>
          <w:color w:val="auto"/>
          <w:spacing w:val="-2"/>
          <w:lang w:val="en-US"/>
        </w:rPr>
        <w:t xml:space="preserve"> thousand which was recognised in respect of </w:t>
      </w:r>
      <w:r w:rsidRPr="00227C94">
        <w:rPr>
          <w:color w:val="auto"/>
          <w:spacing w:val="-4"/>
          <w:lang w:val="en-US"/>
        </w:rPr>
        <w:t xml:space="preserve">ore stockpiled at the Zapadnoye mine in the Irkutsk region (1.7 million tonnes), as a result of the depletion </w:t>
      </w:r>
      <w:r w:rsidRPr="00227C94">
        <w:rPr>
          <w:color w:val="auto"/>
          <w:lang w:val="en-US"/>
        </w:rPr>
        <w:t>of reserves in the pit contour of the Zapadnoye deposit.</w:t>
      </w:r>
    </w:p>
    <w:p w:rsidR="00926E49" w:rsidRPr="00227C94" w:rsidRDefault="00926E49" w:rsidP="00926E49">
      <w:pPr>
        <w:pStyle w:val="23"/>
        <w:rPr>
          <w:color w:val="auto"/>
          <w:lang w:val="en-US"/>
        </w:rPr>
      </w:pPr>
    </w:p>
    <w:p w:rsidR="00916675" w:rsidRPr="00227C94" w:rsidRDefault="00926E49" w:rsidP="00926E49">
      <w:pPr>
        <w:pStyle w:val="31"/>
        <w:rPr>
          <w:lang w:val="en-US"/>
        </w:rPr>
      </w:pPr>
      <w:r w:rsidRPr="00227C94">
        <w:rPr>
          <w:lang w:val="en-US"/>
        </w:rPr>
        <w:br w:type="page"/>
      </w:r>
      <w:r w:rsidR="00916675" w:rsidRPr="00227C94">
        <w:rPr>
          <w:lang w:val="en-US"/>
        </w:rPr>
        <w:lastRenderedPageBreak/>
        <w:t>Impairment of exploration and evaluation assets</w:t>
      </w:r>
    </w:p>
    <w:p w:rsidR="00926E49" w:rsidRPr="00227C94" w:rsidRDefault="00926E49" w:rsidP="00926E49">
      <w:pPr>
        <w:pStyle w:val="23"/>
        <w:rPr>
          <w:color w:val="auto"/>
          <w:lang w:val="en-US"/>
        </w:rPr>
      </w:pPr>
    </w:p>
    <w:p w:rsidR="00916675" w:rsidRPr="00227C94" w:rsidRDefault="00916675" w:rsidP="00926E49">
      <w:pPr>
        <w:pStyle w:val="23"/>
        <w:rPr>
          <w:color w:val="auto"/>
          <w:spacing w:val="-2"/>
          <w:lang w:val="en-US"/>
        </w:rPr>
      </w:pPr>
      <w:r w:rsidRPr="00227C94">
        <w:rPr>
          <w:color w:val="auto"/>
          <w:spacing w:val="-2"/>
          <w:lang w:val="en-US"/>
        </w:rPr>
        <w:t>In H</w:t>
      </w:r>
      <w:r w:rsidR="005E47D3" w:rsidRPr="00227C94">
        <w:rPr>
          <w:color w:val="auto"/>
          <w:spacing w:val="-2"/>
          <w:lang w:val="en-US"/>
        </w:rPr>
        <w:t>1</w:t>
      </w:r>
      <w:r w:rsidRPr="00227C94">
        <w:rPr>
          <w:color w:val="auto"/>
          <w:spacing w:val="-2"/>
          <w:lang w:val="en-US"/>
        </w:rPr>
        <w:t xml:space="preserve"> 2012, the Group recognised impairment in the amount of USD243 thousand related to previously capitalised exploration and evaluation costs on part of </w:t>
      </w:r>
      <w:r w:rsidR="005E47D3" w:rsidRPr="00227C94">
        <w:rPr>
          <w:color w:val="auto"/>
          <w:spacing w:val="-2"/>
          <w:lang w:val="en-US"/>
        </w:rPr>
        <w:t xml:space="preserve">the </w:t>
      </w:r>
      <w:r w:rsidRPr="00227C94">
        <w:rPr>
          <w:color w:val="auto"/>
          <w:spacing w:val="-2"/>
          <w:lang w:val="en-US"/>
        </w:rPr>
        <w:t xml:space="preserve">development works related to some deposits of the Exploration business </w:t>
      </w:r>
      <w:proofErr w:type="gramStart"/>
      <w:r w:rsidRPr="00227C94">
        <w:rPr>
          <w:color w:val="auto"/>
          <w:spacing w:val="-2"/>
          <w:lang w:val="en-US"/>
        </w:rPr>
        <w:t>unit, that</w:t>
      </w:r>
      <w:proofErr w:type="gramEnd"/>
      <w:r w:rsidRPr="00227C94">
        <w:rPr>
          <w:color w:val="auto"/>
          <w:spacing w:val="-2"/>
          <w:lang w:val="en-US"/>
        </w:rPr>
        <w:t xml:space="preserve"> had not led to the discovery of commercially viable quantities of gold resources and consequently resulted in the decision to discontinue such activities. </w:t>
      </w:r>
      <w:r w:rsidR="00926E49" w:rsidRPr="00227C94">
        <w:rPr>
          <w:color w:val="auto"/>
          <w:spacing w:val="-2"/>
          <w:lang w:val="en-US"/>
        </w:rPr>
        <w:br/>
      </w:r>
      <w:r w:rsidRPr="00227C94">
        <w:rPr>
          <w:color w:val="auto"/>
          <w:spacing w:val="-2"/>
          <w:lang w:val="en-US"/>
        </w:rPr>
        <w:t>In the first six months of 2011, the Group recogni</w:t>
      </w:r>
      <w:r w:rsidR="005A0B85" w:rsidRPr="00227C94">
        <w:rPr>
          <w:color w:val="auto"/>
          <w:spacing w:val="-2"/>
          <w:lang w:val="en-US"/>
        </w:rPr>
        <w:t>s</w:t>
      </w:r>
      <w:r w:rsidRPr="00227C94">
        <w:rPr>
          <w:color w:val="auto"/>
          <w:spacing w:val="-2"/>
          <w:lang w:val="en-US"/>
        </w:rPr>
        <w:t>ed an impairment loss of USD15</w:t>
      </w:r>
      <w:proofErr w:type="gramStart"/>
      <w:r w:rsidRPr="00227C94">
        <w:rPr>
          <w:color w:val="auto"/>
          <w:spacing w:val="-2"/>
          <w:lang w:val="en-US"/>
        </w:rPr>
        <w:t>,100</w:t>
      </w:r>
      <w:proofErr w:type="gramEnd"/>
      <w:r w:rsidRPr="00227C94">
        <w:rPr>
          <w:color w:val="auto"/>
          <w:spacing w:val="-2"/>
          <w:lang w:val="en-US"/>
        </w:rPr>
        <w:t xml:space="preserve"> thousand </w:t>
      </w:r>
      <w:bookmarkStart w:id="194" w:name="_DV_M205"/>
      <w:bookmarkEnd w:id="194"/>
      <w:r w:rsidRPr="00227C94">
        <w:rPr>
          <w:color w:val="auto"/>
          <w:spacing w:val="-2"/>
          <w:lang w:val="en-US"/>
        </w:rPr>
        <w:t>at the following exploration fields: Kuzeevskaya in the Krasnoyarsk region, Doroninskoye and Tokichan in the Magadan region, Mukodek in the Irkutsk region and Kaskabulak in the Republic of Kazakhstan.</w:t>
      </w:r>
    </w:p>
    <w:p w:rsidR="00926E49" w:rsidRPr="00227C94" w:rsidRDefault="00926E49" w:rsidP="00926E49">
      <w:pPr>
        <w:pStyle w:val="23"/>
        <w:rPr>
          <w:color w:val="auto"/>
          <w:lang w:val="en-US"/>
        </w:rPr>
      </w:pPr>
    </w:p>
    <w:p w:rsidR="00916675" w:rsidRPr="00227C94" w:rsidRDefault="00916675" w:rsidP="00926E49">
      <w:pPr>
        <w:pStyle w:val="31"/>
        <w:rPr>
          <w:lang w:val="en-US"/>
        </w:rPr>
      </w:pPr>
      <w:r w:rsidRPr="00227C94">
        <w:rPr>
          <w:lang w:val="en-US"/>
        </w:rPr>
        <w:t>Impairment of property, plant and equipment</w:t>
      </w:r>
    </w:p>
    <w:p w:rsidR="00926E49" w:rsidRPr="00227C94" w:rsidRDefault="00926E49" w:rsidP="00926E49">
      <w:pPr>
        <w:pStyle w:val="23"/>
        <w:rPr>
          <w:color w:val="auto"/>
          <w:lang w:val="en-US"/>
        </w:rPr>
      </w:pPr>
    </w:p>
    <w:p w:rsidR="00916675" w:rsidRPr="00227C94" w:rsidRDefault="00916675" w:rsidP="00926E49">
      <w:pPr>
        <w:pStyle w:val="23"/>
        <w:rPr>
          <w:color w:val="auto"/>
          <w:lang w:val="en-US"/>
        </w:rPr>
      </w:pPr>
      <w:r w:rsidRPr="00227C94">
        <w:rPr>
          <w:color w:val="auto"/>
          <w:lang w:val="en-US"/>
        </w:rPr>
        <w:t>In H1 2012 the Group recorded impairment of property, plant and equipment in the amount of USD17</w:t>
      </w:r>
      <w:proofErr w:type="gramStart"/>
      <w:r w:rsidRPr="00227C94">
        <w:rPr>
          <w:color w:val="auto"/>
          <w:lang w:val="en-US"/>
        </w:rPr>
        <w:t>,316</w:t>
      </w:r>
      <w:proofErr w:type="gramEnd"/>
      <w:r w:rsidRPr="00227C94">
        <w:rPr>
          <w:color w:val="auto"/>
          <w:lang w:val="en-US"/>
        </w:rPr>
        <w:t xml:space="preserve"> thousand, which is USD9,672 million higher than in H1 2011. USD11</w:t>
      </w:r>
      <w:proofErr w:type="gramStart"/>
      <w:r w:rsidRPr="00227C94">
        <w:rPr>
          <w:color w:val="auto"/>
          <w:lang w:val="en-US"/>
        </w:rPr>
        <w:t>,622</w:t>
      </w:r>
      <w:proofErr w:type="gramEnd"/>
      <w:r w:rsidRPr="00227C94">
        <w:rPr>
          <w:color w:val="auto"/>
          <w:lang w:val="en-US"/>
        </w:rPr>
        <w:t xml:space="preserve"> thousand relates to the impairment of mining assets following discontinuing of activities at the Omchak exploration field. The </w:t>
      </w:r>
      <w:r w:rsidR="0054138A" w:rsidRPr="00227C94">
        <w:rPr>
          <w:color w:val="auto"/>
          <w:lang w:val="en-US"/>
        </w:rPr>
        <w:t xml:space="preserve">reminder </w:t>
      </w:r>
      <w:r w:rsidRPr="00227C94">
        <w:rPr>
          <w:color w:val="auto"/>
          <w:lang w:val="en-US"/>
        </w:rPr>
        <w:t xml:space="preserve">relates to the Kazakhstan business unit and Irkutsk alluvial business unit, where the Group reassessed property, plant and equipment requirements and reconsidered plans for their future use. As a result, certain assets’ book values and expected useful lives exceeded their anticipated recoverable values and accordingly </w:t>
      </w:r>
      <w:proofErr w:type="gramStart"/>
      <w:r w:rsidRPr="00227C94">
        <w:rPr>
          <w:color w:val="auto"/>
          <w:lang w:val="en-US"/>
        </w:rPr>
        <w:t>an impairment</w:t>
      </w:r>
      <w:proofErr w:type="gramEnd"/>
      <w:r w:rsidRPr="00227C94">
        <w:rPr>
          <w:color w:val="auto"/>
          <w:lang w:val="en-US"/>
        </w:rPr>
        <w:t xml:space="preserve"> was recorded in respect of those assets</w:t>
      </w:r>
      <w:r w:rsidR="0054138A" w:rsidRPr="00227C94">
        <w:rPr>
          <w:color w:val="auto"/>
          <w:lang w:val="en-US"/>
        </w:rPr>
        <w:t>.</w:t>
      </w:r>
      <w:r w:rsidRPr="00227C94">
        <w:rPr>
          <w:color w:val="auto"/>
          <w:lang w:val="en-US"/>
        </w:rPr>
        <w:t xml:space="preserve"> </w:t>
      </w:r>
      <w:r w:rsidR="0054138A" w:rsidRPr="00227C94">
        <w:rPr>
          <w:color w:val="auto"/>
          <w:lang w:val="en-US"/>
        </w:rPr>
        <w:t>T</w:t>
      </w:r>
      <w:r w:rsidRPr="00227C94">
        <w:rPr>
          <w:color w:val="auto"/>
          <w:lang w:val="en-US"/>
        </w:rPr>
        <w:t>heir useful lives were revised downwards.</w:t>
      </w:r>
    </w:p>
    <w:p w:rsidR="00916675" w:rsidRPr="00227C94" w:rsidRDefault="00916675" w:rsidP="00926E49">
      <w:pPr>
        <w:pStyle w:val="23"/>
        <w:rPr>
          <w:color w:val="auto"/>
          <w:lang w:val="en-US"/>
        </w:rPr>
      </w:pPr>
      <w:bookmarkStart w:id="195" w:name="_Toc320887001"/>
    </w:p>
    <w:p w:rsidR="00916675" w:rsidRPr="00227C94" w:rsidRDefault="00916675" w:rsidP="00926E49">
      <w:pPr>
        <w:pStyle w:val="22"/>
      </w:pPr>
      <w:r w:rsidRPr="00227C94">
        <w:t>1.6 Gain on disposal of subsidiaries</w:t>
      </w:r>
    </w:p>
    <w:p w:rsidR="00926E49" w:rsidRPr="00227C94" w:rsidRDefault="00926E49" w:rsidP="00926E49">
      <w:pPr>
        <w:pStyle w:val="23"/>
        <w:rPr>
          <w:color w:val="auto"/>
          <w:lang w:val="en-US"/>
        </w:rPr>
      </w:pPr>
    </w:p>
    <w:p w:rsidR="00916675" w:rsidRPr="00227C94" w:rsidRDefault="00916675" w:rsidP="00926E49">
      <w:pPr>
        <w:pStyle w:val="23"/>
        <w:rPr>
          <w:rFonts w:eastAsia="HelveticaNeue"/>
          <w:color w:val="auto"/>
          <w:lang w:val="en-US"/>
        </w:rPr>
      </w:pPr>
      <w:r w:rsidRPr="00227C94">
        <w:rPr>
          <w:color w:val="auto"/>
          <w:lang w:val="en-US"/>
        </w:rPr>
        <w:t xml:space="preserve">On 21 May 2012 the Group sold its 100% interest Romaltyn Mining S.R.L. and Romaltyn Exploration </w:t>
      </w:r>
      <w:r w:rsidRPr="00227C94">
        <w:rPr>
          <w:color w:val="auto"/>
          <w:spacing w:val="-2"/>
          <w:lang w:val="en-US"/>
        </w:rPr>
        <w:t xml:space="preserve">S.R.L to JSC SAT &amp; Company for a total consideration of USD20 million. Romaltyn Mining </w:t>
      </w:r>
      <w:r w:rsidRPr="00227C94">
        <w:rPr>
          <w:rFonts w:eastAsia="HelveticaNeue"/>
          <w:color w:val="auto"/>
          <w:spacing w:val="-2"/>
          <w:lang w:val="en-US"/>
        </w:rPr>
        <w:t xml:space="preserve">owns a CIL (carbon-in-leach) gold treatment plant with an aggregate treatment capacity of 2.5 million tonnes of ore </w:t>
      </w:r>
      <w:r w:rsidRPr="00227C94">
        <w:rPr>
          <w:rFonts w:eastAsia="HelveticaNeue"/>
          <w:color w:val="auto"/>
          <w:lang w:val="en-US"/>
        </w:rPr>
        <w:t xml:space="preserve">and tailings per annum. However, in order to commence operations, the owner must carry out </w:t>
      </w:r>
      <w:r w:rsidRPr="00227C94">
        <w:rPr>
          <w:rFonts w:eastAsia="HelveticaNeue"/>
          <w:color w:val="auto"/>
          <w:spacing w:val="-4"/>
          <w:lang w:val="en-US"/>
        </w:rPr>
        <w:t>modernisation works and obtain an Integrated Environmental Permit (IEP) before the expiry of its licence</w:t>
      </w:r>
      <w:r w:rsidRPr="00227C94">
        <w:rPr>
          <w:color w:val="auto"/>
          <w:spacing w:val="-4"/>
          <w:lang w:val="en-US"/>
        </w:rPr>
        <w:t xml:space="preserve">. </w:t>
      </w:r>
      <w:r w:rsidRPr="00227C94">
        <w:rPr>
          <w:color w:val="auto"/>
          <w:spacing w:val="-2"/>
          <w:lang w:val="en-US"/>
        </w:rPr>
        <w:t xml:space="preserve">Romaltyn Exploration </w:t>
      </w:r>
      <w:r w:rsidRPr="00227C94">
        <w:rPr>
          <w:rFonts w:eastAsia="HelveticaNeue"/>
          <w:color w:val="auto"/>
          <w:spacing w:val="-2"/>
          <w:lang w:val="en-US"/>
        </w:rPr>
        <w:t xml:space="preserve">holds rights to various exploration assets in Romania containing 112 koz proved </w:t>
      </w:r>
      <w:r w:rsidRPr="00227C94">
        <w:rPr>
          <w:rFonts w:eastAsia="HelveticaNeue"/>
          <w:color w:val="auto"/>
          <w:lang w:val="en-US"/>
        </w:rPr>
        <w:t>and probable reserves, 114 koz measured resources and 204 koz inferred resources. The presale fair value of these assets was USD14</w:t>
      </w:r>
      <w:proofErr w:type="gramStart"/>
      <w:r w:rsidRPr="00227C94">
        <w:rPr>
          <w:rFonts w:eastAsia="HelveticaNeue"/>
          <w:color w:val="auto"/>
          <w:lang w:val="en-US"/>
        </w:rPr>
        <w:t>,727</w:t>
      </w:r>
      <w:proofErr w:type="gramEnd"/>
      <w:r w:rsidR="00387153" w:rsidRPr="00227C94">
        <w:rPr>
          <w:rFonts w:eastAsia="HelveticaNeue"/>
          <w:color w:val="auto"/>
          <w:lang w:val="en-US"/>
        </w:rPr>
        <w:t xml:space="preserve"> </w:t>
      </w:r>
      <w:r w:rsidR="005E47D3" w:rsidRPr="00227C94">
        <w:rPr>
          <w:rFonts w:eastAsia="HelveticaNeue"/>
          <w:color w:val="auto"/>
          <w:lang w:val="en-US"/>
        </w:rPr>
        <w:t>thousand</w:t>
      </w:r>
      <w:r w:rsidRPr="00227C94">
        <w:rPr>
          <w:rFonts w:eastAsia="HelveticaNeue"/>
          <w:color w:val="auto"/>
          <w:lang w:val="en-US"/>
        </w:rPr>
        <w:t xml:space="preserve"> where USD21,696 </w:t>
      </w:r>
      <w:r w:rsidR="005E47D3" w:rsidRPr="00227C94">
        <w:rPr>
          <w:rFonts w:eastAsia="HelveticaNeue"/>
          <w:color w:val="auto"/>
          <w:lang w:val="en-US"/>
        </w:rPr>
        <w:t xml:space="preserve">thousand </w:t>
      </w:r>
      <w:r w:rsidRPr="00227C94">
        <w:rPr>
          <w:rFonts w:eastAsia="HelveticaNeue"/>
          <w:color w:val="auto"/>
          <w:lang w:val="en-US"/>
        </w:rPr>
        <w:t>was the net book value of the assets minus USD6,969</w:t>
      </w:r>
      <w:r w:rsidR="005E47D3" w:rsidRPr="00227C94">
        <w:rPr>
          <w:rFonts w:eastAsia="HelveticaNeue"/>
          <w:color w:val="auto"/>
          <w:lang w:val="en-US"/>
        </w:rPr>
        <w:t xml:space="preserve"> thousand</w:t>
      </w:r>
      <w:r w:rsidRPr="00227C94">
        <w:rPr>
          <w:rFonts w:eastAsia="HelveticaNeue"/>
          <w:color w:val="auto"/>
          <w:lang w:val="en-US"/>
        </w:rPr>
        <w:t xml:space="preserve"> of environmental and other obligations. Thus, the net gain from this disposal was equal to USD5</w:t>
      </w:r>
      <w:proofErr w:type="gramStart"/>
      <w:r w:rsidRPr="00227C94">
        <w:rPr>
          <w:rFonts w:eastAsia="HelveticaNeue"/>
          <w:color w:val="auto"/>
          <w:lang w:val="en-US"/>
        </w:rPr>
        <w:t>,273</w:t>
      </w:r>
      <w:proofErr w:type="gramEnd"/>
      <w:r w:rsidRPr="00227C94">
        <w:rPr>
          <w:rFonts w:eastAsia="HelveticaNeue"/>
          <w:color w:val="auto"/>
          <w:lang w:val="en-US"/>
        </w:rPr>
        <w:t xml:space="preserve"> thousand.</w:t>
      </w:r>
    </w:p>
    <w:p w:rsidR="00926E49" w:rsidRPr="00227C94" w:rsidRDefault="00926E49" w:rsidP="00926E49">
      <w:pPr>
        <w:pStyle w:val="23"/>
        <w:rPr>
          <w:rFonts w:eastAsia="HelveticaNeue"/>
          <w:color w:val="auto"/>
          <w:lang w:val="en-US"/>
        </w:rPr>
      </w:pPr>
    </w:p>
    <w:p w:rsidR="00916675" w:rsidRPr="00227C94" w:rsidRDefault="00916675" w:rsidP="00926E49">
      <w:pPr>
        <w:pStyle w:val="23"/>
        <w:rPr>
          <w:rFonts w:eastAsia="HelveticaNeue"/>
          <w:color w:val="auto"/>
          <w:lang w:val="en-US"/>
        </w:rPr>
      </w:pPr>
      <w:r w:rsidRPr="00227C94">
        <w:rPr>
          <w:rFonts w:eastAsia="HelveticaNeue"/>
          <w:color w:val="auto"/>
          <w:lang w:val="en-US"/>
        </w:rPr>
        <w:t xml:space="preserve">Also in the reporting period the Group disposed of </w:t>
      </w:r>
      <w:r w:rsidRPr="00227C94">
        <w:rPr>
          <w:color w:val="auto"/>
          <w:lang w:val="en-US"/>
        </w:rPr>
        <w:t xml:space="preserve">GRK Bargold </w:t>
      </w:r>
      <w:r w:rsidR="003B340C">
        <w:rPr>
          <w:color w:val="auto"/>
          <w:lang w:val="en-US"/>
        </w:rPr>
        <w:t xml:space="preserve">Ltd and </w:t>
      </w:r>
      <w:r w:rsidRPr="00227C94">
        <w:rPr>
          <w:color w:val="auto"/>
          <w:lang w:val="en-US"/>
        </w:rPr>
        <w:t>Yakutskoe GRP</w:t>
      </w:r>
      <w:r w:rsidR="003B340C">
        <w:rPr>
          <w:color w:val="auto"/>
          <w:lang w:val="en-US"/>
        </w:rPr>
        <w:t xml:space="preserve"> Ltd</w:t>
      </w:r>
      <w:r w:rsidRPr="00227C94">
        <w:rPr>
          <w:color w:val="auto"/>
          <w:lang w:val="en-US"/>
        </w:rPr>
        <w:t xml:space="preserve">, which </w:t>
      </w:r>
      <w:r w:rsidRPr="00227C94">
        <w:rPr>
          <w:color w:val="auto"/>
          <w:shd w:val="clear" w:color="auto" w:fill="FFFFFF"/>
          <w:lang w:val="en-US"/>
        </w:rPr>
        <w:t>hold rights to a number of exploration assets in Russia. The net gain on the disposal of these assets was USD995 thousand.</w:t>
      </w:r>
    </w:p>
    <w:p w:rsidR="00916675" w:rsidRPr="00227C94" w:rsidRDefault="00916675" w:rsidP="00926E49">
      <w:pPr>
        <w:pStyle w:val="23"/>
        <w:rPr>
          <w:color w:val="auto"/>
          <w:lang w:val="en-US"/>
        </w:rPr>
      </w:pPr>
    </w:p>
    <w:p w:rsidR="00916675" w:rsidRPr="00227C94" w:rsidRDefault="00916675" w:rsidP="00926E49">
      <w:pPr>
        <w:pStyle w:val="22"/>
      </w:pPr>
      <w:r w:rsidRPr="00227C94">
        <w:t>1.7 Finance costs</w:t>
      </w:r>
      <w:bookmarkEnd w:id="195"/>
    </w:p>
    <w:p w:rsidR="00926E49" w:rsidRPr="00227C94" w:rsidRDefault="00926E49" w:rsidP="00926E49">
      <w:pPr>
        <w:pStyle w:val="23"/>
        <w:rPr>
          <w:color w:val="auto"/>
          <w:lang w:val="en-US"/>
        </w:rPr>
      </w:pPr>
    </w:p>
    <w:p w:rsidR="00916675" w:rsidRPr="00227C94" w:rsidRDefault="00916675" w:rsidP="00926E49">
      <w:pPr>
        <w:pStyle w:val="23"/>
        <w:rPr>
          <w:color w:val="auto"/>
          <w:spacing w:val="-2"/>
          <w:lang w:val="en-US"/>
        </w:rPr>
      </w:pPr>
      <w:r w:rsidRPr="00227C94">
        <w:rPr>
          <w:color w:val="auto"/>
          <w:lang w:val="en-US"/>
        </w:rPr>
        <w:t xml:space="preserve">The level of borrowings increased significantly within the last 12 months: 280% increase from </w:t>
      </w:r>
      <w:r w:rsidR="00926E49" w:rsidRPr="00227C94">
        <w:rPr>
          <w:color w:val="auto"/>
          <w:lang w:val="en-US"/>
        </w:rPr>
        <w:br/>
      </w:r>
      <w:r w:rsidRPr="00227C94">
        <w:rPr>
          <w:color w:val="auto"/>
          <w:spacing w:val="-2"/>
          <w:lang w:val="en-US"/>
        </w:rPr>
        <w:t xml:space="preserve">30 June 2011 to 31 December 2011, and 60% from 30 June 2011 to 30 June 2012. This relates to the Mandatory Tender Offer in November financed through two bridge facilities with a total consideration of </w:t>
      </w:r>
      <w:r w:rsidRPr="00227C94">
        <w:rPr>
          <w:color w:val="auto"/>
          <w:lang w:val="en-US"/>
        </w:rPr>
        <w:t xml:space="preserve">USD460,000 thousand, as well as the following loans from Societe Generale, Unicredit and HSBC with a consideration of USD100,000 thousand each (On 06 October 2011 USD50,000 thousand from </w:t>
      </w:r>
      <w:r w:rsidRPr="00227C94">
        <w:rPr>
          <w:color w:val="auto"/>
          <w:spacing w:val="-2"/>
          <w:lang w:val="en-US"/>
        </w:rPr>
        <w:t>Societe Generale loan had been transferred to Unicredit). The Group’s finance costs slightly decreased by 5.5% to USD22</w:t>
      </w:r>
      <w:proofErr w:type="gramStart"/>
      <w:r w:rsidRPr="00227C94">
        <w:rPr>
          <w:color w:val="auto"/>
          <w:spacing w:val="-2"/>
          <w:lang w:val="en-US"/>
        </w:rPr>
        <w:t>,489</w:t>
      </w:r>
      <w:proofErr w:type="gramEnd"/>
      <w:r w:rsidRPr="00227C94">
        <w:rPr>
          <w:color w:val="auto"/>
          <w:spacing w:val="-2"/>
          <w:lang w:val="en-US"/>
        </w:rPr>
        <w:t xml:space="preserve"> </w:t>
      </w:r>
      <w:r w:rsidR="00870753" w:rsidRPr="00227C94">
        <w:rPr>
          <w:color w:val="auto"/>
          <w:spacing w:val="-2"/>
          <w:lang w:val="en-US"/>
        </w:rPr>
        <w:t xml:space="preserve">thousand </w:t>
      </w:r>
      <w:r w:rsidRPr="00227C94">
        <w:rPr>
          <w:color w:val="auto"/>
          <w:spacing w:val="-2"/>
          <w:lang w:val="en-US"/>
        </w:rPr>
        <w:t>in H1 2012, owing to lower interest rates.</w:t>
      </w:r>
    </w:p>
    <w:p w:rsidR="00926E49" w:rsidRPr="00227C94" w:rsidRDefault="00926E49" w:rsidP="00926E49">
      <w:pPr>
        <w:pStyle w:val="23"/>
        <w:rPr>
          <w:color w:val="auto"/>
          <w:lang w:val="en-US"/>
        </w:rPr>
      </w:pPr>
    </w:p>
    <w:p w:rsidR="00916675" w:rsidRPr="00227C94" w:rsidRDefault="00926E49" w:rsidP="00926E49">
      <w:pPr>
        <w:pStyle w:val="23"/>
        <w:rPr>
          <w:color w:val="auto"/>
          <w:lang w:val="en-US"/>
        </w:rPr>
      </w:pPr>
      <w:r w:rsidRPr="00227C94">
        <w:rPr>
          <w:color w:val="auto"/>
          <w:spacing w:val="-2"/>
          <w:lang w:val="en-US"/>
        </w:rPr>
        <w:br w:type="page"/>
      </w:r>
      <w:proofErr w:type="gramStart"/>
      <w:r w:rsidR="00916675" w:rsidRPr="00227C94">
        <w:rPr>
          <w:color w:val="auto"/>
          <w:spacing w:val="-2"/>
          <w:lang w:val="en-US"/>
        </w:rPr>
        <w:lastRenderedPageBreak/>
        <w:t>Graph 2.</w:t>
      </w:r>
      <w:proofErr w:type="gramEnd"/>
      <w:r w:rsidR="00916675" w:rsidRPr="00227C94">
        <w:rPr>
          <w:color w:val="auto"/>
          <w:spacing w:val="-2"/>
          <w:lang w:val="en-US"/>
        </w:rPr>
        <w:t xml:space="preserve"> </w:t>
      </w:r>
      <w:proofErr w:type="gramStart"/>
      <w:r w:rsidR="00916675" w:rsidRPr="00227C94">
        <w:rPr>
          <w:color w:val="auto"/>
          <w:spacing w:val="-2"/>
          <w:lang w:val="en-US"/>
        </w:rPr>
        <w:t xml:space="preserve">Debt outstanding and weighted-average interest rate as of 30 June 2011, 31 December 2011 </w:t>
      </w:r>
      <w:r w:rsidR="00916675" w:rsidRPr="00227C94">
        <w:rPr>
          <w:color w:val="auto"/>
          <w:lang w:val="en-US"/>
        </w:rPr>
        <w:t>and 30 June 2012.</w:t>
      </w:r>
      <w:proofErr w:type="gramEnd"/>
    </w:p>
    <w:p w:rsidR="00926E49" w:rsidRPr="00227C94" w:rsidRDefault="00926E49" w:rsidP="00926E49">
      <w:pPr>
        <w:pStyle w:val="23"/>
        <w:rPr>
          <w:color w:val="auto"/>
          <w:lang w:val="en-US"/>
        </w:rPr>
      </w:pPr>
    </w:p>
    <w:p w:rsidR="00916675" w:rsidRPr="00227C94" w:rsidRDefault="00227C94" w:rsidP="00916675">
      <w:pPr>
        <w:rPr>
          <w:rFonts w:ascii="Arial" w:eastAsia="Arial Unicode MS" w:hAnsi="Arial" w:cs="Arial"/>
          <w:sz w:val="18"/>
          <w:szCs w:val="18"/>
        </w:rPr>
      </w:pPr>
      <w:r>
        <w:rPr>
          <w:rFonts w:ascii="Arial" w:eastAsia="Arial Unicode MS" w:hAnsi="Arial" w:cs="Arial"/>
          <w:noProof/>
          <w:sz w:val="18"/>
          <w:szCs w:val="18"/>
          <w:lang w:val="ru-RU" w:eastAsia="ru-RU"/>
        </w:rPr>
        <w:drawing>
          <wp:inline distT="0" distB="0" distL="0" distR="0">
            <wp:extent cx="6021070" cy="335978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21070" cy="3359785"/>
                    </a:xfrm>
                    <a:prstGeom prst="rect">
                      <a:avLst/>
                    </a:prstGeom>
                    <a:noFill/>
                  </pic:spPr>
                </pic:pic>
              </a:graphicData>
            </a:graphic>
          </wp:inline>
        </w:drawing>
      </w:r>
    </w:p>
    <w:p w:rsidR="00916675" w:rsidRPr="00227C94" w:rsidRDefault="00926E49" w:rsidP="00926E49">
      <w:pPr>
        <w:pStyle w:val="23"/>
        <w:rPr>
          <w:color w:val="auto"/>
          <w:lang w:val="en-US"/>
        </w:rPr>
      </w:pPr>
      <w:bookmarkStart w:id="196" w:name="_Toc320887002"/>
      <w:r w:rsidRPr="00227C94">
        <w:rPr>
          <w:color w:val="auto"/>
          <w:lang w:val="en-US"/>
        </w:rPr>
        <w:t>_____________________________</w:t>
      </w:r>
    </w:p>
    <w:p w:rsidR="00916675" w:rsidRPr="00227C94" w:rsidRDefault="00916675" w:rsidP="002E73D5">
      <w:pPr>
        <w:pStyle w:val="2"/>
        <w:numPr>
          <w:ilvl w:val="0"/>
          <w:numId w:val="22"/>
        </w:numPr>
        <w:rPr>
          <w:sz w:val="18"/>
          <w:lang w:val="en-US"/>
        </w:rPr>
      </w:pPr>
      <w:r w:rsidRPr="00227C94">
        <w:rPr>
          <w:spacing w:val="-2"/>
          <w:sz w:val="18"/>
          <w:lang w:val="en-US"/>
        </w:rPr>
        <w:t>Debt outstanding recognised at fair value and carried at amorti</w:t>
      </w:r>
      <w:r w:rsidR="005A0B85" w:rsidRPr="00227C94">
        <w:rPr>
          <w:spacing w:val="-2"/>
          <w:sz w:val="18"/>
          <w:lang w:val="en-US"/>
        </w:rPr>
        <w:t>s</w:t>
      </w:r>
      <w:r w:rsidRPr="00227C94">
        <w:rPr>
          <w:spacing w:val="-2"/>
          <w:sz w:val="18"/>
          <w:lang w:val="en-US"/>
        </w:rPr>
        <w:t xml:space="preserve">ed cost (as shown in the Group’s statement </w:t>
      </w:r>
      <w:r w:rsidRPr="00227C94">
        <w:rPr>
          <w:sz w:val="18"/>
          <w:lang w:val="en-US"/>
        </w:rPr>
        <w:t>of financial position). Actual debt outstanding was USD337</w:t>
      </w:r>
      <w:proofErr w:type="gramStart"/>
      <w:r w:rsidRPr="00227C94">
        <w:rPr>
          <w:sz w:val="18"/>
          <w:lang w:val="en-US"/>
        </w:rPr>
        <w:t>,540</w:t>
      </w:r>
      <w:proofErr w:type="gramEnd"/>
      <w:r w:rsidRPr="00227C94">
        <w:rPr>
          <w:sz w:val="18"/>
          <w:lang w:val="en-US"/>
        </w:rPr>
        <w:t xml:space="preserve"> thousand as at 30 June 2012, USD794,160 thousand as at 31 December 2011 and USD231,922 thousand as at 30 June 2011</w:t>
      </w:r>
      <w:r w:rsidR="0054138A" w:rsidRPr="00227C94">
        <w:rPr>
          <w:sz w:val="18"/>
          <w:lang w:val="en-US"/>
        </w:rPr>
        <w:t>.</w:t>
      </w:r>
    </w:p>
    <w:p w:rsidR="00916675" w:rsidRPr="00227C94" w:rsidRDefault="00916675" w:rsidP="00926E49">
      <w:pPr>
        <w:pStyle w:val="23"/>
        <w:rPr>
          <w:color w:val="auto"/>
          <w:lang w:val="en-US"/>
        </w:rPr>
      </w:pPr>
    </w:p>
    <w:p w:rsidR="00916675" w:rsidRPr="00227C94" w:rsidRDefault="00916675" w:rsidP="00926E49">
      <w:pPr>
        <w:pStyle w:val="22"/>
        <w:rPr>
          <w:lang w:val="en-US"/>
        </w:rPr>
      </w:pPr>
      <w:r w:rsidRPr="00227C94">
        <w:t>1.8 Income from investments</w:t>
      </w:r>
      <w:bookmarkEnd w:id="196"/>
      <w:r w:rsidRPr="00227C94">
        <w:t xml:space="preserve"> (net)</w:t>
      </w:r>
    </w:p>
    <w:p w:rsidR="00926E49" w:rsidRPr="00227C94" w:rsidRDefault="00926E49" w:rsidP="00926E49">
      <w:pPr>
        <w:pStyle w:val="23"/>
        <w:rPr>
          <w:color w:val="auto"/>
          <w:lang w:val="en-US"/>
        </w:rPr>
      </w:pPr>
    </w:p>
    <w:p w:rsidR="00916675" w:rsidRPr="00227C94" w:rsidRDefault="00916675" w:rsidP="003443ED">
      <w:pPr>
        <w:pStyle w:val="23"/>
        <w:rPr>
          <w:color w:val="auto"/>
          <w:lang w:val="en-US"/>
        </w:rPr>
      </w:pPr>
      <w:proofErr w:type="gramStart"/>
      <w:r w:rsidRPr="00227C94">
        <w:rPr>
          <w:color w:val="auto"/>
          <w:spacing w:val="-2"/>
          <w:lang w:val="en-US"/>
        </w:rPr>
        <w:t>In  H1</w:t>
      </w:r>
      <w:proofErr w:type="gramEnd"/>
      <w:r w:rsidRPr="00227C94">
        <w:rPr>
          <w:color w:val="auto"/>
          <w:spacing w:val="-2"/>
          <w:lang w:val="en-US"/>
        </w:rPr>
        <w:t xml:space="preserve"> 2012, the Group received income from investments totaling USD19,540 thousand, compared </w:t>
      </w:r>
      <w:r w:rsidRPr="00227C94">
        <w:rPr>
          <w:color w:val="auto"/>
          <w:lang w:val="en-US"/>
        </w:rPr>
        <w:t xml:space="preserve">to USD8,232 thousand in the first half of 2011. 89% of this income </w:t>
      </w:r>
      <w:r w:rsidR="00E369E4" w:rsidRPr="00227C94">
        <w:rPr>
          <w:color w:val="auto"/>
          <w:lang w:val="en-US"/>
        </w:rPr>
        <w:t>(or USD17</w:t>
      </w:r>
      <w:proofErr w:type="gramStart"/>
      <w:r w:rsidR="00E369E4" w:rsidRPr="00227C94">
        <w:rPr>
          <w:color w:val="auto"/>
          <w:lang w:val="en-US"/>
        </w:rPr>
        <w:t>,325</w:t>
      </w:r>
      <w:proofErr w:type="gramEnd"/>
      <w:r w:rsidR="00E369E4" w:rsidRPr="00227C94">
        <w:rPr>
          <w:color w:val="auto"/>
          <w:lang w:val="en-US"/>
        </w:rPr>
        <w:t xml:space="preserve"> thousand) </w:t>
      </w:r>
      <w:r w:rsidRPr="00227C94">
        <w:rPr>
          <w:color w:val="auto"/>
          <w:lang w:val="en-US"/>
        </w:rPr>
        <w:t>relates to the interest income on bank deposits.</w:t>
      </w:r>
      <w:r w:rsidR="003443ED" w:rsidRPr="00227C94">
        <w:rPr>
          <w:color w:val="auto"/>
          <w:lang w:val="en-US"/>
        </w:rPr>
        <w:t xml:space="preserve"> </w:t>
      </w:r>
      <w:r w:rsidRPr="00227C94">
        <w:rPr>
          <w:color w:val="auto"/>
          <w:spacing w:val="-3"/>
          <w:lang w:val="en-US"/>
        </w:rPr>
        <w:t xml:space="preserve">The </w:t>
      </w:r>
      <w:r w:rsidR="003443ED" w:rsidRPr="00227C94">
        <w:rPr>
          <w:color w:val="auto"/>
          <w:spacing w:val="-3"/>
          <w:lang w:val="en-US"/>
        </w:rPr>
        <w:t xml:space="preserve">reminder </w:t>
      </w:r>
      <w:r w:rsidRPr="00227C94">
        <w:rPr>
          <w:color w:val="auto"/>
          <w:spacing w:val="-3"/>
          <w:lang w:val="en-US"/>
        </w:rPr>
        <w:t>relates to the income received from investments in listed companies. At the end of the reporting period the fair value of these investments increased by USD2</w:t>
      </w:r>
      <w:proofErr w:type="gramStart"/>
      <w:r w:rsidRPr="00227C94">
        <w:rPr>
          <w:color w:val="auto"/>
          <w:spacing w:val="-3"/>
          <w:lang w:val="en-US"/>
        </w:rPr>
        <w:t>,215</w:t>
      </w:r>
      <w:proofErr w:type="gramEnd"/>
      <w:r w:rsidRPr="00227C94">
        <w:rPr>
          <w:color w:val="auto"/>
          <w:spacing w:val="-3"/>
          <w:lang w:val="en-US"/>
        </w:rPr>
        <w:t>. This was recogni</w:t>
      </w:r>
      <w:r w:rsidR="005A0B85" w:rsidRPr="00227C94">
        <w:rPr>
          <w:color w:val="auto"/>
          <w:spacing w:val="-3"/>
          <w:lang w:val="en-US"/>
        </w:rPr>
        <w:t>s</w:t>
      </w:r>
      <w:r w:rsidRPr="00227C94">
        <w:rPr>
          <w:color w:val="auto"/>
          <w:spacing w:val="-3"/>
          <w:lang w:val="en-US"/>
        </w:rPr>
        <w:t>ed as investment income.</w:t>
      </w:r>
    </w:p>
    <w:p w:rsidR="00926E49" w:rsidRPr="00227C94" w:rsidRDefault="00926E49" w:rsidP="00926E49">
      <w:pPr>
        <w:pStyle w:val="23"/>
        <w:rPr>
          <w:color w:val="auto"/>
          <w:lang w:val="en-US"/>
        </w:rPr>
      </w:pPr>
    </w:p>
    <w:p w:rsidR="00916675" w:rsidRPr="00227C94" w:rsidRDefault="00916675" w:rsidP="00926E49">
      <w:pPr>
        <w:pStyle w:val="23"/>
        <w:rPr>
          <w:color w:val="auto"/>
          <w:lang w:val="en-US"/>
        </w:rPr>
      </w:pPr>
      <w:r w:rsidRPr="00227C94">
        <w:rPr>
          <w:color w:val="auto"/>
          <w:lang w:val="en-US"/>
        </w:rPr>
        <w:t>At the end of the reporting period the fair value of available-for-sale investments decreased by USD1</w:t>
      </w:r>
      <w:proofErr w:type="gramStart"/>
      <w:r w:rsidRPr="00227C94">
        <w:rPr>
          <w:color w:val="auto"/>
          <w:lang w:val="en-US"/>
        </w:rPr>
        <w:t>,791</w:t>
      </w:r>
      <w:proofErr w:type="gramEnd"/>
      <w:r w:rsidRPr="00227C94">
        <w:rPr>
          <w:color w:val="auto"/>
          <w:lang w:val="en-US"/>
        </w:rPr>
        <w:t>. There was no disposal of available-for-sale investments in the reporting period.</w:t>
      </w:r>
    </w:p>
    <w:p w:rsidR="00916675" w:rsidRPr="00227C94" w:rsidRDefault="00916675" w:rsidP="00926E49">
      <w:pPr>
        <w:pStyle w:val="23"/>
        <w:rPr>
          <w:color w:val="auto"/>
          <w:lang w:val="en-US"/>
        </w:rPr>
      </w:pPr>
      <w:bookmarkStart w:id="197" w:name="_DV_M211"/>
      <w:bookmarkStart w:id="198" w:name="_DV_M212"/>
      <w:bookmarkStart w:id="199" w:name="_DV_M213"/>
      <w:bookmarkStart w:id="200" w:name="_DV_M214"/>
      <w:bookmarkStart w:id="201" w:name="_DV_M216"/>
      <w:bookmarkStart w:id="202" w:name="_DV_M217"/>
      <w:bookmarkStart w:id="203" w:name="_DV_M218"/>
      <w:bookmarkStart w:id="204" w:name="_DV_M219"/>
      <w:bookmarkStart w:id="205" w:name="_DV_M220"/>
      <w:bookmarkStart w:id="206" w:name="_DV_M221"/>
      <w:bookmarkStart w:id="207" w:name="_DV_M222"/>
      <w:bookmarkStart w:id="208" w:name="_DV_M223"/>
      <w:bookmarkStart w:id="209" w:name="_DV_M224"/>
      <w:bookmarkStart w:id="210" w:name="_DV_M225"/>
      <w:bookmarkStart w:id="211" w:name="_DV_M226"/>
      <w:bookmarkStart w:id="212" w:name="_DV_M227"/>
      <w:bookmarkStart w:id="213" w:name="_DV_M228"/>
      <w:bookmarkStart w:id="214" w:name="_DV_M229"/>
      <w:bookmarkStart w:id="215" w:name="_DV_M230"/>
      <w:bookmarkStart w:id="216" w:name="_DV_M231"/>
      <w:bookmarkStart w:id="217" w:name="_DV_M232"/>
      <w:bookmarkStart w:id="218" w:name="_DV_M233"/>
      <w:bookmarkStart w:id="219" w:name="_DV_M234"/>
      <w:bookmarkStart w:id="220" w:name="_DV_M235"/>
      <w:bookmarkStart w:id="221" w:name="_DV_M236"/>
      <w:bookmarkStart w:id="222" w:name="_Toc303889388"/>
      <w:bookmarkStart w:id="223" w:name="_Toc304205604"/>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16675" w:rsidRPr="00227C94" w:rsidRDefault="00916675" w:rsidP="00926E49">
      <w:pPr>
        <w:pStyle w:val="22"/>
        <w:rPr>
          <w:lang w:val="en-US"/>
        </w:rPr>
      </w:pPr>
      <w:bookmarkStart w:id="224" w:name="_1.9_Income_tax"/>
      <w:bookmarkEnd w:id="224"/>
      <w:r w:rsidRPr="00227C94">
        <w:t xml:space="preserve">1.9 </w:t>
      </w:r>
      <w:bookmarkStart w:id="225" w:name="_DV_M237"/>
      <w:bookmarkEnd w:id="225"/>
      <w:r w:rsidRPr="00227C94">
        <w:t>Income tax</w:t>
      </w:r>
      <w:bookmarkEnd w:id="222"/>
      <w:bookmarkEnd w:id="223"/>
      <w:r w:rsidRPr="00227C94">
        <w:t xml:space="preserve"> expense</w:t>
      </w:r>
    </w:p>
    <w:p w:rsidR="00926E49" w:rsidRPr="00227C94" w:rsidRDefault="00926E49" w:rsidP="00926E49">
      <w:pPr>
        <w:pStyle w:val="23"/>
        <w:rPr>
          <w:color w:val="auto"/>
          <w:lang w:val="en-US"/>
        </w:rPr>
      </w:pPr>
    </w:p>
    <w:p w:rsidR="00916675" w:rsidRPr="00227C94" w:rsidRDefault="00916675" w:rsidP="00926E49">
      <w:pPr>
        <w:pStyle w:val="23"/>
        <w:rPr>
          <w:color w:val="auto"/>
          <w:spacing w:val="-2"/>
          <w:lang w:val="en-US"/>
        </w:rPr>
      </w:pPr>
      <w:bookmarkStart w:id="226" w:name="_DV_M238"/>
      <w:bookmarkEnd w:id="226"/>
      <w:r w:rsidRPr="00227C94">
        <w:rPr>
          <w:color w:val="auto"/>
          <w:spacing w:val="-2"/>
          <w:lang w:val="en-US"/>
        </w:rPr>
        <w:t>Income tax expense in the first half of 2012 was USD113</w:t>
      </w:r>
      <w:proofErr w:type="gramStart"/>
      <w:r w:rsidRPr="00227C94">
        <w:rPr>
          <w:color w:val="auto"/>
          <w:spacing w:val="-2"/>
          <w:lang w:val="en-US"/>
        </w:rPr>
        <w:t>,026</w:t>
      </w:r>
      <w:proofErr w:type="gramEnd"/>
      <w:r w:rsidRPr="00227C94">
        <w:rPr>
          <w:color w:val="auto"/>
          <w:spacing w:val="-2"/>
          <w:lang w:val="en-US"/>
        </w:rPr>
        <w:t xml:space="preserve"> thousand, which was 87% more than in the same period of </w:t>
      </w:r>
      <w:bookmarkStart w:id="227" w:name="_DV_C153"/>
      <w:r w:rsidRPr="00227C94">
        <w:rPr>
          <w:color w:val="auto"/>
          <w:spacing w:val="-2"/>
          <w:lang w:val="en-US"/>
        </w:rPr>
        <w:t>2011.</w:t>
      </w:r>
      <w:bookmarkStart w:id="228" w:name="_DV_M239"/>
      <w:bookmarkEnd w:id="227"/>
      <w:bookmarkEnd w:id="228"/>
      <w:r w:rsidRPr="00227C94">
        <w:rPr>
          <w:color w:val="auto"/>
          <w:spacing w:val="-2"/>
          <w:lang w:val="en-US"/>
        </w:rPr>
        <w:t xml:space="preserve"> The increase in income tax expense for </w:t>
      </w:r>
      <w:bookmarkStart w:id="229" w:name="_DV_C155"/>
      <w:r w:rsidRPr="00227C94">
        <w:rPr>
          <w:color w:val="auto"/>
          <w:spacing w:val="-2"/>
          <w:lang w:val="en-US"/>
        </w:rPr>
        <w:t>H1 2012</w:t>
      </w:r>
      <w:bookmarkStart w:id="230" w:name="_DV_M240"/>
      <w:bookmarkEnd w:id="229"/>
      <w:bookmarkEnd w:id="230"/>
      <w:r w:rsidRPr="00227C94">
        <w:rPr>
          <w:color w:val="auto"/>
          <w:spacing w:val="-2"/>
          <w:lang w:val="en-US"/>
        </w:rPr>
        <w:t xml:space="preserve"> was driven by higher profit </w:t>
      </w:r>
      <w:r w:rsidRPr="00227C94">
        <w:rPr>
          <w:color w:val="auto"/>
          <w:lang w:val="en-US"/>
        </w:rPr>
        <w:t xml:space="preserve">before taxation in comparison with the first half of 2011 (an increase of 102% p-o-p). The effective income tax rate (ratio of current and deferred tax expense to IFRS income before tax) was 21% (23% in the first half of 2011), while the statutory income tax rate in </w:t>
      </w:r>
      <w:bookmarkStart w:id="231" w:name="_DV_C157"/>
      <w:r w:rsidRPr="00227C94">
        <w:rPr>
          <w:color w:val="auto"/>
          <w:lang w:val="en-US"/>
        </w:rPr>
        <w:t>Russia was</w:t>
      </w:r>
      <w:bookmarkStart w:id="232" w:name="_DV_M241"/>
      <w:bookmarkEnd w:id="231"/>
      <w:bookmarkEnd w:id="232"/>
      <w:r w:rsidRPr="00227C94">
        <w:rPr>
          <w:color w:val="auto"/>
          <w:lang w:val="en-US"/>
        </w:rPr>
        <w:t xml:space="preserve"> 20% in both periods. </w:t>
      </w:r>
      <w:r w:rsidRPr="00227C94">
        <w:rPr>
          <w:color w:val="auto"/>
          <w:spacing w:val="-2"/>
          <w:lang w:val="en-US"/>
        </w:rPr>
        <w:t>The difference between the statutory and the effective tax rates was due to a number of non-deductible items for tax purposes and other permanent differences.</w:t>
      </w:r>
    </w:p>
    <w:p w:rsidR="00916675" w:rsidRPr="00227C94" w:rsidRDefault="00916675" w:rsidP="00926E49">
      <w:pPr>
        <w:pStyle w:val="23"/>
        <w:rPr>
          <w:color w:val="auto"/>
          <w:lang w:val="en-US"/>
        </w:rPr>
      </w:pPr>
    </w:p>
    <w:p w:rsidR="00926E49" w:rsidRPr="00227C94" w:rsidRDefault="00926E49" w:rsidP="00926E49">
      <w:pPr>
        <w:pStyle w:val="23"/>
        <w:rPr>
          <w:color w:val="auto"/>
          <w:lang w:val="en-US"/>
        </w:rPr>
      </w:pPr>
    </w:p>
    <w:p w:rsidR="00926E49" w:rsidRPr="00227C94" w:rsidRDefault="00926E49" w:rsidP="00926E49">
      <w:pPr>
        <w:pStyle w:val="1"/>
        <w:rPr>
          <w:lang w:val="en-US"/>
        </w:rPr>
        <w:sectPr w:rsidR="00926E49" w:rsidRPr="00227C94" w:rsidSect="007448AA">
          <w:footerReference w:type="default" r:id="rId11"/>
          <w:pgSz w:w="11906" w:h="16838"/>
          <w:pgMar w:top="720" w:right="1077" w:bottom="431" w:left="1417" w:header="709" w:footer="709" w:gutter="0"/>
          <w:pgNumType w:start="1"/>
          <w:cols w:space="708"/>
          <w:docGrid w:linePitch="360"/>
        </w:sectPr>
      </w:pPr>
      <w:bookmarkStart w:id="233" w:name="_Toc320887004"/>
    </w:p>
    <w:p w:rsidR="00916675" w:rsidRPr="00227C94" w:rsidRDefault="00916675" w:rsidP="00926E49">
      <w:pPr>
        <w:pStyle w:val="1"/>
        <w:rPr>
          <w:lang w:val="en-US"/>
        </w:rPr>
      </w:pPr>
      <w:r w:rsidRPr="00227C94">
        <w:rPr>
          <w:lang w:val="en-US"/>
        </w:rPr>
        <w:lastRenderedPageBreak/>
        <w:t>SUMMARY OF PERFORMANCE RESULTS BY BUSINESS UNITS</w:t>
      </w:r>
      <w:bookmarkEnd w:id="233"/>
    </w:p>
    <w:p w:rsidR="00916675" w:rsidRPr="00227C94" w:rsidRDefault="00916675" w:rsidP="00926E49">
      <w:pPr>
        <w:pStyle w:val="23"/>
        <w:rPr>
          <w:color w:val="auto"/>
          <w:lang w:val="en-US"/>
        </w:rPr>
      </w:pPr>
    </w:p>
    <w:p w:rsidR="00916675" w:rsidRPr="00227C94" w:rsidRDefault="00916675" w:rsidP="00926E49">
      <w:pPr>
        <w:pStyle w:val="23"/>
        <w:rPr>
          <w:color w:val="auto"/>
          <w:lang w:val="en-US"/>
        </w:rPr>
      </w:pPr>
      <w:r w:rsidRPr="00227C94">
        <w:rPr>
          <w:color w:val="auto"/>
          <w:lang w:val="en-US"/>
        </w:rPr>
        <w:t>The following table shows the Group’s performance results by business units for the 6 months ended 30 June 2012 and 30 June 2011, and for the year ended 31 December 2011.</w:t>
      </w:r>
    </w:p>
    <w:p w:rsidR="00916675" w:rsidRPr="00227C94" w:rsidRDefault="00916675" w:rsidP="00926E49">
      <w:pPr>
        <w:pStyle w:val="23"/>
        <w:rPr>
          <w:color w:val="auto"/>
          <w:lang w:val="en-US"/>
        </w:rPr>
      </w:pPr>
    </w:p>
    <w:tbl>
      <w:tblPr>
        <w:tblW w:w="14570" w:type="dxa"/>
        <w:tblLayout w:type="fixed"/>
        <w:tblCellMar>
          <w:left w:w="0" w:type="dxa"/>
          <w:right w:w="0" w:type="dxa"/>
        </w:tblCellMar>
        <w:tblLook w:val="01E0" w:firstRow="1" w:lastRow="1" w:firstColumn="1" w:lastColumn="1" w:noHBand="0" w:noVBand="0"/>
      </w:tblPr>
      <w:tblGrid>
        <w:gridCol w:w="1608"/>
        <w:gridCol w:w="507"/>
        <w:gridCol w:w="739"/>
        <w:gridCol w:w="74"/>
        <w:gridCol w:w="506"/>
        <w:gridCol w:w="74"/>
        <w:gridCol w:w="738"/>
        <w:gridCol w:w="74"/>
        <w:gridCol w:w="506"/>
        <w:gridCol w:w="74"/>
        <w:gridCol w:w="738"/>
        <w:gridCol w:w="74"/>
        <w:gridCol w:w="506"/>
        <w:gridCol w:w="74"/>
        <w:gridCol w:w="738"/>
        <w:gridCol w:w="74"/>
        <w:gridCol w:w="506"/>
        <w:gridCol w:w="74"/>
        <w:gridCol w:w="738"/>
        <w:gridCol w:w="74"/>
        <w:gridCol w:w="506"/>
        <w:gridCol w:w="74"/>
        <w:gridCol w:w="738"/>
        <w:gridCol w:w="74"/>
        <w:gridCol w:w="506"/>
        <w:gridCol w:w="74"/>
        <w:gridCol w:w="738"/>
        <w:gridCol w:w="74"/>
        <w:gridCol w:w="506"/>
        <w:gridCol w:w="74"/>
        <w:gridCol w:w="738"/>
        <w:gridCol w:w="74"/>
        <w:gridCol w:w="506"/>
        <w:gridCol w:w="74"/>
        <w:gridCol w:w="738"/>
        <w:gridCol w:w="74"/>
        <w:gridCol w:w="506"/>
      </w:tblGrid>
      <w:tr w:rsidR="008F3095" w:rsidRPr="00227C94" w:rsidTr="00A701F4">
        <w:trPr>
          <w:cantSplit/>
        </w:trPr>
        <w:tc>
          <w:tcPr>
            <w:tcW w:w="1608" w:type="dxa"/>
            <w:shd w:val="clear" w:color="auto" w:fill="auto"/>
            <w:tcMar>
              <w:top w:w="0" w:type="dxa"/>
              <w:left w:w="0" w:type="dxa"/>
              <w:bottom w:w="0" w:type="dxa"/>
              <w:right w:w="0" w:type="dxa"/>
            </w:tcMar>
          </w:tcPr>
          <w:p w:rsidR="008F3095" w:rsidRPr="00227C94" w:rsidRDefault="008F3095" w:rsidP="00926E49">
            <w:pPr>
              <w:pStyle w:val="tblHeaderText"/>
              <w:jc w:val="left"/>
              <w:rPr>
                <w:rFonts w:cs="Arial"/>
                <w:sz w:val="16"/>
                <w:szCs w:val="16"/>
                <w:lang w:val="en-US"/>
              </w:rPr>
            </w:pPr>
          </w:p>
        </w:tc>
        <w:tc>
          <w:tcPr>
            <w:tcW w:w="507" w:type="dxa"/>
            <w:tcMar>
              <w:top w:w="0" w:type="dxa"/>
              <w:left w:w="0" w:type="dxa"/>
              <w:bottom w:w="0" w:type="dxa"/>
              <w:right w:w="0" w:type="dxa"/>
            </w:tcMar>
          </w:tcPr>
          <w:p w:rsidR="008F3095" w:rsidRPr="00227C94" w:rsidRDefault="008F3095" w:rsidP="00926E49">
            <w:pPr>
              <w:pStyle w:val="tblHeaderText"/>
              <w:rPr>
                <w:rFonts w:cs="Arial"/>
                <w:sz w:val="16"/>
                <w:szCs w:val="16"/>
                <w:lang w:val="en-US"/>
              </w:rPr>
            </w:pPr>
          </w:p>
        </w:tc>
        <w:tc>
          <w:tcPr>
            <w:tcW w:w="8279" w:type="dxa"/>
            <w:gridSpan w:val="23"/>
            <w:tcBorders>
              <w:bottom w:val="single" w:sz="6" w:space="0" w:color="auto"/>
            </w:tcBorders>
            <w:shd w:val="clear" w:color="auto" w:fill="auto"/>
            <w:tcMar>
              <w:top w:w="0" w:type="dxa"/>
              <w:left w:w="0" w:type="dxa"/>
              <w:bottom w:w="0" w:type="dxa"/>
              <w:right w:w="0" w:type="dxa"/>
            </w:tcMar>
            <w:vAlign w:val="bottom"/>
          </w:tcPr>
          <w:p w:rsidR="008F3095" w:rsidRPr="00227C94" w:rsidRDefault="008F3095" w:rsidP="00926E49">
            <w:pPr>
              <w:pStyle w:val="tblHeaderText"/>
              <w:rPr>
                <w:rFonts w:cs="Arial"/>
                <w:sz w:val="16"/>
                <w:szCs w:val="16"/>
              </w:rPr>
            </w:pPr>
            <w:r w:rsidRPr="00227C94">
              <w:rPr>
                <w:rFonts w:cs="Arial"/>
                <w:sz w:val="16"/>
                <w:szCs w:val="16"/>
              </w:rPr>
              <w:t>Six months ended 30 June</w:t>
            </w:r>
          </w:p>
        </w:tc>
        <w:tc>
          <w:tcPr>
            <w:tcW w:w="74" w:type="dxa"/>
            <w:tcMar>
              <w:top w:w="0" w:type="dxa"/>
              <w:left w:w="0" w:type="dxa"/>
              <w:bottom w:w="0" w:type="dxa"/>
              <w:right w:w="0" w:type="dxa"/>
            </w:tcMar>
          </w:tcPr>
          <w:p w:rsidR="008F3095" w:rsidRPr="00227C94" w:rsidRDefault="008F3095" w:rsidP="00926E49">
            <w:pPr>
              <w:pStyle w:val="tblHeaderText"/>
              <w:rPr>
                <w:rFonts w:cs="Arial"/>
                <w:sz w:val="16"/>
                <w:szCs w:val="16"/>
              </w:rPr>
            </w:pPr>
          </w:p>
        </w:tc>
        <w:tc>
          <w:tcPr>
            <w:tcW w:w="4102" w:type="dxa"/>
            <w:gridSpan w:val="11"/>
            <w:tcBorders>
              <w:bottom w:val="single" w:sz="6" w:space="0" w:color="auto"/>
            </w:tcBorders>
            <w:shd w:val="clear" w:color="auto" w:fill="auto"/>
            <w:tcMar>
              <w:top w:w="0" w:type="dxa"/>
              <w:left w:w="0" w:type="dxa"/>
              <w:bottom w:w="0" w:type="dxa"/>
              <w:right w:w="0" w:type="dxa"/>
            </w:tcMar>
            <w:vAlign w:val="bottom"/>
          </w:tcPr>
          <w:p w:rsidR="008F3095" w:rsidRPr="00227C94" w:rsidRDefault="008F3095" w:rsidP="00926E49">
            <w:pPr>
              <w:pStyle w:val="tblHeaderText"/>
              <w:rPr>
                <w:rFonts w:cs="Arial"/>
                <w:sz w:val="16"/>
                <w:szCs w:val="16"/>
              </w:rPr>
            </w:pPr>
            <w:r w:rsidRPr="00227C94">
              <w:rPr>
                <w:rFonts w:cs="Arial"/>
                <w:sz w:val="16"/>
                <w:szCs w:val="16"/>
              </w:rPr>
              <w:t>Year ended 31 December</w:t>
            </w:r>
          </w:p>
        </w:tc>
      </w:tr>
      <w:tr w:rsidR="008F3095" w:rsidRPr="00227C94" w:rsidTr="00A701F4">
        <w:trPr>
          <w:cantSplit/>
        </w:trPr>
        <w:tc>
          <w:tcPr>
            <w:tcW w:w="1608" w:type="dxa"/>
            <w:shd w:val="clear" w:color="auto" w:fill="auto"/>
            <w:tcMar>
              <w:top w:w="0" w:type="dxa"/>
              <w:left w:w="0" w:type="dxa"/>
              <w:bottom w:w="0" w:type="dxa"/>
              <w:right w:w="0" w:type="dxa"/>
            </w:tcMar>
          </w:tcPr>
          <w:p w:rsidR="008F3095" w:rsidRPr="00227C94" w:rsidRDefault="008F3095" w:rsidP="003E2C63">
            <w:pPr>
              <w:pStyle w:val="tblHeaderText"/>
              <w:rPr>
                <w:rFonts w:cs="Arial"/>
                <w:sz w:val="16"/>
                <w:szCs w:val="16"/>
              </w:rPr>
            </w:pPr>
          </w:p>
        </w:tc>
        <w:tc>
          <w:tcPr>
            <w:tcW w:w="507" w:type="dxa"/>
            <w:tcMar>
              <w:top w:w="0" w:type="dxa"/>
              <w:left w:w="0" w:type="dxa"/>
              <w:bottom w:w="0" w:type="dxa"/>
              <w:right w:w="0" w:type="dxa"/>
            </w:tcMar>
          </w:tcPr>
          <w:p w:rsidR="008F3095" w:rsidRPr="00227C94" w:rsidRDefault="008F3095" w:rsidP="003E2C63">
            <w:pPr>
              <w:pStyle w:val="tblHeaderText"/>
              <w:rPr>
                <w:rFonts w:cs="Arial"/>
                <w:sz w:val="16"/>
                <w:szCs w:val="16"/>
              </w:rPr>
            </w:pPr>
          </w:p>
        </w:tc>
        <w:tc>
          <w:tcPr>
            <w:tcW w:w="4103" w:type="dxa"/>
            <w:gridSpan w:val="11"/>
            <w:tcBorders>
              <w:top w:val="single" w:sz="6" w:space="0" w:color="auto"/>
              <w:bottom w:val="single" w:sz="6" w:space="0" w:color="auto"/>
            </w:tcBorders>
            <w:shd w:val="clear" w:color="auto" w:fill="auto"/>
            <w:tcMar>
              <w:top w:w="0" w:type="dxa"/>
              <w:left w:w="0" w:type="dxa"/>
              <w:bottom w:w="0" w:type="dxa"/>
              <w:right w:w="0" w:type="dxa"/>
            </w:tcMar>
            <w:vAlign w:val="bottom"/>
          </w:tcPr>
          <w:p w:rsidR="008F3095" w:rsidRPr="00227C94" w:rsidRDefault="008F3095" w:rsidP="003E2C63">
            <w:pPr>
              <w:pStyle w:val="tblHeaderText"/>
              <w:rPr>
                <w:rFonts w:cs="Arial"/>
                <w:sz w:val="16"/>
                <w:szCs w:val="16"/>
              </w:rPr>
            </w:pPr>
            <w:r w:rsidRPr="00227C94">
              <w:rPr>
                <w:rFonts w:cs="Arial"/>
                <w:sz w:val="16"/>
                <w:szCs w:val="16"/>
              </w:rPr>
              <w:t>2012</w:t>
            </w:r>
          </w:p>
        </w:tc>
        <w:tc>
          <w:tcPr>
            <w:tcW w:w="74" w:type="dxa"/>
            <w:tcBorders>
              <w:top w:val="single" w:sz="6" w:space="0" w:color="auto"/>
            </w:tcBorders>
            <w:shd w:val="clear" w:color="auto" w:fill="auto"/>
            <w:tcMar>
              <w:top w:w="0" w:type="dxa"/>
              <w:left w:w="0" w:type="dxa"/>
              <w:bottom w:w="0" w:type="dxa"/>
              <w:right w:w="0" w:type="dxa"/>
            </w:tcMar>
          </w:tcPr>
          <w:p w:rsidR="008F3095" w:rsidRPr="00227C94" w:rsidRDefault="008F3095" w:rsidP="003E2C63">
            <w:pPr>
              <w:pStyle w:val="tblHeaderText"/>
              <w:rPr>
                <w:rFonts w:cs="Arial"/>
                <w:sz w:val="16"/>
                <w:szCs w:val="16"/>
              </w:rPr>
            </w:pPr>
          </w:p>
        </w:tc>
        <w:tc>
          <w:tcPr>
            <w:tcW w:w="4102" w:type="dxa"/>
            <w:gridSpan w:val="11"/>
            <w:tcBorders>
              <w:top w:val="single" w:sz="6" w:space="0" w:color="auto"/>
              <w:bottom w:val="single" w:sz="6" w:space="0" w:color="auto"/>
            </w:tcBorders>
            <w:shd w:val="clear" w:color="auto" w:fill="auto"/>
            <w:tcMar>
              <w:top w:w="0" w:type="dxa"/>
              <w:left w:w="0" w:type="dxa"/>
              <w:bottom w:w="0" w:type="dxa"/>
              <w:right w:w="0" w:type="dxa"/>
            </w:tcMar>
            <w:vAlign w:val="bottom"/>
          </w:tcPr>
          <w:p w:rsidR="008F3095" w:rsidRPr="00227C94" w:rsidRDefault="008F3095" w:rsidP="003E2C63">
            <w:pPr>
              <w:pStyle w:val="tblHeaderText"/>
              <w:rPr>
                <w:rFonts w:cs="Arial"/>
                <w:sz w:val="16"/>
                <w:szCs w:val="16"/>
              </w:rPr>
            </w:pPr>
            <w:r w:rsidRPr="00227C94">
              <w:rPr>
                <w:rFonts w:cs="Arial"/>
                <w:sz w:val="16"/>
                <w:szCs w:val="16"/>
              </w:rPr>
              <w:t>2011</w:t>
            </w:r>
          </w:p>
        </w:tc>
        <w:tc>
          <w:tcPr>
            <w:tcW w:w="74" w:type="dxa"/>
            <w:tcMar>
              <w:top w:w="0" w:type="dxa"/>
              <w:left w:w="0" w:type="dxa"/>
              <w:bottom w:w="0" w:type="dxa"/>
              <w:right w:w="0" w:type="dxa"/>
            </w:tcMar>
          </w:tcPr>
          <w:p w:rsidR="008F3095" w:rsidRPr="00227C94" w:rsidRDefault="008F3095" w:rsidP="003E2C63">
            <w:pPr>
              <w:pStyle w:val="tblHeaderText"/>
              <w:rPr>
                <w:rFonts w:cs="Arial"/>
                <w:sz w:val="16"/>
                <w:szCs w:val="16"/>
              </w:rPr>
            </w:pPr>
          </w:p>
        </w:tc>
        <w:tc>
          <w:tcPr>
            <w:tcW w:w="4102" w:type="dxa"/>
            <w:gridSpan w:val="11"/>
            <w:tcBorders>
              <w:top w:val="single" w:sz="6" w:space="0" w:color="auto"/>
              <w:bottom w:val="single" w:sz="6" w:space="0" w:color="auto"/>
            </w:tcBorders>
            <w:shd w:val="clear" w:color="auto" w:fill="auto"/>
            <w:tcMar>
              <w:top w:w="0" w:type="dxa"/>
              <w:left w:w="0" w:type="dxa"/>
              <w:bottom w:w="0" w:type="dxa"/>
              <w:right w:w="0" w:type="dxa"/>
            </w:tcMar>
            <w:vAlign w:val="bottom"/>
          </w:tcPr>
          <w:p w:rsidR="008F3095" w:rsidRPr="00227C94" w:rsidRDefault="008F3095" w:rsidP="003E2C63">
            <w:pPr>
              <w:pStyle w:val="tblHeaderText"/>
              <w:rPr>
                <w:rFonts w:cs="Arial"/>
                <w:sz w:val="16"/>
                <w:szCs w:val="16"/>
              </w:rPr>
            </w:pPr>
            <w:r w:rsidRPr="00227C94">
              <w:rPr>
                <w:rFonts w:cs="Arial"/>
                <w:sz w:val="16"/>
                <w:szCs w:val="16"/>
              </w:rPr>
              <w:t>2011</w:t>
            </w:r>
          </w:p>
        </w:tc>
      </w:tr>
      <w:tr w:rsidR="003E2C63" w:rsidRPr="00227C94" w:rsidTr="003E2C63">
        <w:trPr>
          <w:cantSplit/>
        </w:trPr>
        <w:tc>
          <w:tcPr>
            <w:tcW w:w="1608" w:type="dxa"/>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507" w:type="dxa"/>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1319" w:type="dxa"/>
            <w:gridSpan w:val="3"/>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center"/>
              <w:rPr>
                <w:rFonts w:ascii="Arial" w:hAnsi="Arial" w:cs="Arial"/>
                <w:b/>
                <w:sz w:val="16"/>
                <w:szCs w:val="16"/>
              </w:rPr>
            </w:pPr>
            <w:r w:rsidRPr="00227C94">
              <w:rPr>
                <w:rFonts w:ascii="Arial" w:hAnsi="Arial" w:cs="Arial"/>
                <w:b/>
                <w:sz w:val="16"/>
                <w:szCs w:val="16"/>
              </w:rPr>
              <w:t>Production</w:t>
            </w: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center"/>
              <w:rPr>
                <w:rFonts w:ascii="Arial" w:hAnsi="Arial" w:cs="Arial"/>
                <w:b/>
                <w:sz w:val="16"/>
                <w:szCs w:val="16"/>
              </w:rPr>
            </w:pPr>
          </w:p>
        </w:tc>
        <w:tc>
          <w:tcPr>
            <w:tcW w:w="1318" w:type="dxa"/>
            <w:gridSpan w:val="3"/>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center"/>
              <w:rPr>
                <w:rFonts w:ascii="Arial" w:hAnsi="Arial" w:cs="Arial"/>
                <w:b/>
                <w:sz w:val="16"/>
                <w:szCs w:val="16"/>
              </w:rPr>
            </w:pPr>
            <w:r w:rsidRPr="00227C94">
              <w:rPr>
                <w:rFonts w:ascii="Arial" w:hAnsi="Arial" w:cs="Arial"/>
                <w:b/>
                <w:sz w:val="16"/>
                <w:szCs w:val="16"/>
              </w:rPr>
              <w:t>Sales</w:t>
            </w: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p>
        </w:tc>
        <w:tc>
          <w:tcPr>
            <w:tcW w:w="1318" w:type="dxa"/>
            <w:gridSpan w:val="3"/>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center"/>
              <w:rPr>
                <w:rFonts w:ascii="Arial" w:hAnsi="Arial" w:cs="Arial"/>
                <w:b/>
                <w:sz w:val="16"/>
                <w:szCs w:val="16"/>
              </w:rPr>
            </w:pPr>
            <w:r w:rsidRPr="00227C94">
              <w:rPr>
                <w:rFonts w:ascii="Arial" w:hAnsi="Arial" w:cs="Arial"/>
                <w:b/>
                <w:sz w:val="16"/>
                <w:szCs w:val="16"/>
              </w:rPr>
              <w:t>Gold sales</w:t>
            </w:r>
          </w:p>
        </w:tc>
        <w:tc>
          <w:tcPr>
            <w:tcW w:w="74" w:type="dxa"/>
            <w:shd w:val="clear" w:color="auto" w:fill="auto"/>
            <w:tcMar>
              <w:top w:w="0" w:type="dxa"/>
              <w:left w:w="0" w:type="dxa"/>
              <w:bottom w:w="0" w:type="dxa"/>
              <w:right w:w="0" w:type="dxa"/>
            </w:tcMar>
          </w:tcPr>
          <w:p w:rsidR="003E2C63" w:rsidRPr="00227C94" w:rsidRDefault="003E2C63" w:rsidP="003E2C63">
            <w:pPr>
              <w:jc w:val="center"/>
              <w:rPr>
                <w:rFonts w:ascii="Arial" w:hAnsi="Arial" w:cs="Arial"/>
                <w:b/>
                <w:sz w:val="16"/>
                <w:szCs w:val="16"/>
              </w:rPr>
            </w:pPr>
          </w:p>
        </w:tc>
        <w:tc>
          <w:tcPr>
            <w:tcW w:w="1318" w:type="dxa"/>
            <w:gridSpan w:val="3"/>
            <w:tcBorders>
              <w:top w:val="single" w:sz="6" w:space="0" w:color="auto"/>
            </w:tcBorders>
            <w:shd w:val="clear" w:color="auto" w:fill="auto"/>
            <w:tcMar>
              <w:top w:w="0" w:type="dxa"/>
              <w:left w:w="0" w:type="dxa"/>
              <w:bottom w:w="0" w:type="dxa"/>
              <w:right w:w="0" w:type="dxa"/>
            </w:tcMar>
          </w:tcPr>
          <w:p w:rsidR="003E2C63" w:rsidRPr="00227C94" w:rsidRDefault="003E2C63" w:rsidP="003E2C63">
            <w:pPr>
              <w:jc w:val="center"/>
              <w:rPr>
                <w:rFonts w:ascii="Arial" w:hAnsi="Arial" w:cs="Arial"/>
                <w:b/>
                <w:sz w:val="16"/>
                <w:szCs w:val="16"/>
              </w:rPr>
            </w:pPr>
            <w:r w:rsidRPr="00227C94">
              <w:rPr>
                <w:rFonts w:ascii="Arial" w:hAnsi="Arial" w:cs="Arial"/>
                <w:b/>
                <w:sz w:val="16"/>
                <w:szCs w:val="16"/>
              </w:rPr>
              <w:t>Production</w:t>
            </w:r>
          </w:p>
        </w:tc>
        <w:tc>
          <w:tcPr>
            <w:tcW w:w="74" w:type="dxa"/>
            <w:tcBorders>
              <w:top w:val="single" w:sz="6" w:space="0" w:color="auto"/>
            </w:tcBorders>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1318" w:type="dxa"/>
            <w:gridSpan w:val="3"/>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r w:rsidRPr="00227C94">
              <w:rPr>
                <w:rFonts w:cs="Arial"/>
                <w:sz w:val="16"/>
                <w:szCs w:val="16"/>
              </w:rPr>
              <w:t>Sales</w:t>
            </w:r>
          </w:p>
        </w:tc>
        <w:tc>
          <w:tcPr>
            <w:tcW w:w="74" w:type="dxa"/>
            <w:tcBorders>
              <w:top w:val="single" w:sz="6" w:space="0" w:color="auto"/>
            </w:tcBorders>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1318" w:type="dxa"/>
            <w:gridSpan w:val="3"/>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r w:rsidRPr="00227C94">
              <w:rPr>
                <w:rFonts w:cs="Arial"/>
                <w:sz w:val="16"/>
                <w:szCs w:val="16"/>
              </w:rPr>
              <w:t xml:space="preserve">Gold </w:t>
            </w:r>
            <w:r w:rsidRPr="00227C94">
              <w:rPr>
                <w:rFonts w:cs="Arial"/>
                <w:sz w:val="16"/>
                <w:szCs w:val="16"/>
                <w:lang w:val="en-US"/>
              </w:rPr>
              <w:t>s</w:t>
            </w:r>
            <w:r w:rsidRPr="00227C94">
              <w:rPr>
                <w:rFonts w:cs="Arial"/>
                <w:sz w:val="16"/>
                <w:szCs w:val="16"/>
              </w:rPr>
              <w:t>ales</w:t>
            </w:r>
          </w:p>
        </w:tc>
        <w:tc>
          <w:tcPr>
            <w:tcW w:w="74" w:type="dxa"/>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1318" w:type="dxa"/>
            <w:gridSpan w:val="3"/>
            <w:tcBorders>
              <w:top w:val="single" w:sz="6" w:space="0" w:color="auto"/>
            </w:tcBorders>
            <w:shd w:val="clear" w:color="auto" w:fill="auto"/>
            <w:tcMar>
              <w:top w:w="0" w:type="dxa"/>
              <w:left w:w="0" w:type="dxa"/>
              <w:bottom w:w="0" w:type="dxa"/>
              <w:right w:w="0" w:type="dxa"/>
            </w:tcMar>
          </w:tcPr>
          <w:p w:rsidR="003E2C63" w:rsidRPr="00227C94" w:rsidRDefault="003E2C63" w:rsidP="003E2C63">
            <w:pPr>
              <w:jc w:val="center"/>
              <w:rPr>
                <w:rFonts w:ascii="Arial" w:hAnsi="Arial" w:cs="Arial"/>
                <w:b/>
                <w:sz w:val="16"/>
                <w:szCs w:val="16"/>
              </w:rPr>
            </w:pPr>
            <w:r w:rsidRPr="00227C94">
              <w:rPr>
                <w:rFonts w:ascii="Arial" w:hAnsi="Arial" w:cs="Arial"/>
                <w:b/>
                <w:sz w:val="16"/>
                <w:szCs w:val="16"/>
              </w:rPr>
              <w:t>Production</w:t>
            </w:r>
          </w:p>
        </w:tc>
        <w:tc>
          <w:tcPr>
            <w:tcW w:w="74" w:type="dxa"/>
            <w:tcBorders>
              <w:top w:val="single" w:sz="6" w:space="0" w:color="auto"/>
            </w:tcBorders>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1318" w:type="dxa"/>
            <w:gridSpan w:val="3"/>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r w:rsidRPr="00227C94">
              <w:rPr>
                <w:rFonts w:cs="Arial"/>
                <w:sz w:val="16"/>
                <w:szCs w:val="16"/>
              </w:rPr>
              <w:t>Sales</w:t>
            </w:r>
          </w:p>
        </w:tc>
        <w:tc>
          <w:tcPr>
            <w:tcW w:w="74" w:type="dxa"/>
            <w:tcBorders>
              <w:top w:val="single" w:sz="6" w:space="0" w:color="auto"/>
            </w:tcBorders>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1318" w:type="dxa"/>
            <w:gridSpan w:val="3"/>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r w:rsidRPr="00227C94">
              <w:rPr>
                <w:rFonts w:cs="Arial"/>
                <w:sz w:val="16"/>
                <w:szCs w:val="16"/>
              </w:rPr>
              <w:t xml:space="preserve">Gold </w:t>
            </w:r>
            <w:r w:rsidRPr="00227C94">
              <w:rPr>
                <w:rFonts w:cs="Arial"/>
                <w:sz w:val="16"/>
                <w:szCs w:val="16"/>
                <w:lang w:val="en-US"/>
              </w:rPr>
              <w:t>s</w:t>
            </w:r>
            <w:r w:rsidRPr="00227C94">
              <w:rPr>
                <w:rFonts w:cs="Arial"/>
                <w:sz w:val="16"/>
                <w:szCs w:val="16"/>
              </w:rPr>
              <w:t>ales</w:t>
            </w:r>
          </w:p>
        </w:tc>
      </w:tr>
      <w:tr w:rsidR="003E2C63" w:rsidRPr="00227C94" w:rsidTr="003E2C63">
        <w:trPr>
          <w:cantSplit/>
        </w:trPr>
        <w:tc>
          <w:tcPr>
            <w:tcW w:w="1608" w:type="dxa"/>
            <w:tcBorders>
              <w:bottom w:val="single" w:sz="6" w:space="0" w:color="auto"/>
            </w:tcBorders>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507"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r w:rsidRPr="00227C94">
              <w:rPr>
                <w:rFonts w:cs="Arial"/>
                <w:sz w:val="16"/>
                <w:szCs w:val="16"/>
              </w:rPr>
              <w:t>Note</w:t>
            </w:r>
          </w:p>
        </w:tc>
        <w:tc>
          <w:tcPr>
            <w:tcW w:w="739"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center"/>
              <w:rPr>
                <w:rFonts w:ascii="Arial" w:hAnsi="Arial" w:cs="Arial"/>
                <w:b/>
                <w:sz w:val="16"/>
                <w:szCs w:val="16"/>
              </w:rPr>
            </w:pPr>
            <w:r w:rsidRPr="00227C94">
              <w:rPr>
                <w:rFonts w:ascii="Arial" w:hAnsi="Arial" w:cs="Arial"/>
                <w:b/>
                <w:sz w:val="16"/>
                <w:szCs w:val="16"/>
              </w:rPr>
              <w:t>‘000 ounces</w:t>
            </w:r>
          </w:p>
        </w:tc>
        <w:tc>
          <w:tcPr>
            <w:tcW w:w="74"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center"/>
              <w:rPr>
                <w:rFonts w:ascii="Arial" w:hAnsi="Arial" w:cs="Arial"/>
                <w:b/>
                <w:sz w:val="16"/>
                <w:szCs w:val="16"/>
              </w:rPr>
            </w:pPr>
          </w:p>
        </w:tc>
        <w:tc>
          <w:tcPr>
            <w:tcW w:w="506"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center"/>
              <w:rPr>
                <w:rFonts w:ascii="Arial" w:hAnsi="Arial" w:cs="Arial"/>
                <w:b/>
                <w:sz w:val="16"/>
                <w:szCs w:val="16"/>
              </w:rPr>
            </w:pPr>
            <w:r w:rsidRPr="00227C94">
              <w:rPr>
                <w:rFonts w:ascii="Arial" w:hAnsi="Arial" w:cs="Arial"/>
                <w:b/>
                <w:sz w:val="16"/>
                <w:szCs w:val="16"/>
              </w:rPr>
              <w:t>%</w:t>
            </w:r>
          </w:p>
        </w:tc>
        <w:tc>
          <w:tcPr>
            <w:tcW w:w="74"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p>
        </w:tc>
        <w:tc>
          <w:tcPr>
            <w:tcW w:w="738"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center"/>
              <w:rPr>
                <w:rFonts w:ascii="Arial" w:hAnsi="Arial" w:cs="Arial"/>
                <w:b/>
                <w:sz w:val="16"/>
                <w:szCs w:val="16"/>
              </w:rPr>
            </w:pPr>
            <w:r w:rsidRPr="00227C94">
              <w:rPr>
                <w:rFonts w:ascii="Arial" w:hAnsi="Arial" w:cs="Arial"/>
                <w:b/>
                <w:sz w:val="16"/>
                <w:szCs w:val="16"/>
              </w:rPr>
              <w:t>‘000 ounces</w:t>
            </w:r>
          </w:p>
        </w:tc>
        <w:tc>
          <w:tcPr>
            <w:tcW w:w="74"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center"/>
              <w:rPr>
                <w:rFonts w:ascii="Arial" w:hAnsi="Arial" w:cs="Arial"/>
                <w:b/>
                <w:sz w:val="16"/>
                <w:szCs w:val="16"/>
              </w:rPr>
            </w:pPr>
          </w:p>
        </w:tc>
        <w:tc>
          <w:tcPr>
            <w:tcW w:w="506"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center"/>
              <w:rPr>
                <w:rFonts w:ascii="Arial" w:hAnsi="Arial" w:cs="Arial"/>
                <w:b/>
                <w:sz w:val="16"/>
                <w:szCs w:val="16"/>
              </w:rPr>
            </w:pPr>
            <w:r w:rsidRPr="00227C94">
              <w:rPr>
                <w:rFonts w:ascii="Arial" w:hAnsi="Arial" w:cs="Arial"/>
                <w:b/>
                <w:sz w:val="16"/>
                <w:szCs w:val="16"/>
              </w:rPr>
              <w:t>%</w:t>
            </w:r>
          </w:p>
        </w:tc>
        <w:tc>
          <w:tcPr>
            <w:tcW w:w="74"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p>
        </w:tc>
        <w:tc>
          <w:tcPr>
            <w:tcW w:w="738"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r w:rsidRPr="00227C94">
              <w:rPr>
                <w:rFonts w:cs="Arial"/>
                <w:sz w:val="16"/>
                <w:szCs w:val="16"/>
              </w:rPr>
              <w:t>USD‘000</w:t>
            </w:r>
          </w:p>
        </w:tc>
        <w:tc>
          <w:tcPr>
            <w:tcW w:w="74"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p>
        </w:tc>
        <w:tc>
          <w:tcPr>
            <w:tcW w:w="506"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lang w:val="en-GB"/>
              </w:rPr>
            </w:pPr>
            <w:r w:rsidRPr="00227C94">
              <w:rPr>
                <w:rFonts w:cs="Arial"/>
                <w:sz w:val="16"/>
                <w:szCs w:val="16"/>
                <w:lang w:val="en-GB"/>
              </w:rPr>
              <w:t>%</w:t>
            </w:r>
          </w:p>
        </w:tc>
        <w:tc>
          <w:tcPr>
            <w:tcW w:w="74" w:type="dxa"/>
            <w:tcBorders>
              <w:bottom w:val="single" w:sz="6" w:space="0" w:color="auto"/>
            </w:tcBorders>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738" w:type="dxa"/>
            <w:tcBorders>
              <w:top w:val="single" w:sz="6" w:space="0" w:color="auto"/>
              <w:bottom w:val="single" w:sz="6" w:space="0" w:color="auto"/>
            </w:tcBorders>
            <w:shd w:val="clear" w:color="auto" w:fill="auto"/>
            <w:tcMar>
              <w:top w:w="0" w:type="dxa"/>
              <w:left w:w="0" w:type="dxa"/>
              <w:bottom w:w="0" w:type="dxa"/>
              <w:right w:w="0" w:type="dxa"/>
            </w:tcMar>
          </w:tcPr>
          <w:p w:rsidR="003E2C63" w:rsidRPr="00227C94" w:rsidRDefault="003E2C63" w:rsidP="003E2C63">
            <w:pPr>
              <w:jc w:val="center"/>
              <w:rPr>
                <w:rFonts w:ascii="Arial" w:hAnsi="Arial" w:cs="Arial"/>
                <w:b/>
                <w:sz w:val="16"/>
                <w:szCs w:val="16"/>
              </w:rPr>
            </w:pPr>
            <w:r w:rsidRPr="00227C94">
              <w:rPr>
                <w:rFonts w:ascii="Arial" w:hAnsi="Arial" w:cs="Arial"/>
                <w:b/>
                <w:sz w:val="16"/>
                <w:szCs w:val="16"/>
              </w:rPr>
              <w:t>‘000 ounces</w:t>
            </w:r>
          </w:p>
        </w:tc>
        <w:tc>
          <w:tcPr>
            <w:tcW w:w="74" w:type="dxa"/>
            <w:tcBorders>
              <w:top w:val="single" w:sz="6" w:space="0" w:color="auto"/>
              <w:bottom w:val="single" w:sz="6" w:space="0" w:color="auto"/>
            </w:tcBorders>
            <w:shd w:val="clear" w:color="auto" w:fill="auto"/>
            <w:tcMar>
              <w:top w:w="0" w:type="dxa"/>
              <w:left w:w="0" w:type="dxa"/>
              <w:bottom w:w="0" w:type="dxa"/>
              <w:right w:w="0" w:type="dxa"/>
            </w:tcMar>
          </w:tcPr>
          <w:p w:rsidR="003E2C63" w:rsidRPr="00227C94" w:rsidRDefault="003E2C63" w:rsidP="003E2C63">
            <w:pPr>
              <w:jc w:val="center"/>
              <w:rPr>
                <w:rFonts w:ascii="Arial" w:hAnsi="Arial" w:cs="Arial"/>
                <w:b/>
                <w:sz w:val="16"/>
                <w:szCs w:val="16"/>
              </w:rPr>
            </w:pPr>
          </w:p>
        </w:tc>
        <w:tc>
          <w:tcPr>
            <w:tcW w:w="506" w:type="dxa"/>
            <w:tcBorders>
              <w:top w:val="single" w:sz="6" w:space="0" w:color="auto"/>
              <w:bottom w:val="single" w:sz="6" w:space="0" w:color="auto"/>
            </w:tcBorders>
            <w:shd w:val="clear" w:color="auto" w:fill="auto"/>
            <w:tcMar>
              <w:top w:w="0" w:type="dxa"/>
              <w:left w:w="0" w:type="dxa"/>
              <w:bottom w:w="0" w:type="dxa"/>
              <w:right w:w="0" w:type="dxa"/>
            </w:tcMar>
          </w:tcPr>
          <w:p w:rsidR="003E2C63" w:rsidRPr="00227C94" w:rsidRDefault="003E2C63" w:rsidP="003E2C63">
            <w:pPr>
              <w:jc w:val="center"/>
              <w:rPr>
                <w:rFonts w:ascii="Arial" w:hAnsi="Arial" w:cs="Arial"/>
                <w:b/>
                <w:sz w:val="16"/>
                <w:szCs w:val="16"/>
              </w:rPr>
            </w:pPr>
            <w:r w:rsidRPr="00227C94">
              <w:rPr>
                <w:rFonts w:ascii="Arial" w:hAnsi="Arial" w:cs="Arial"/>
                <w:b/>
                <w:sz w:val="16"/>
                <w:szCs w:val="16"/>
              </w:rPr>
              <w:t>%</w:t>
            </w:r>
          </w:p>
        </w:tc>
        <w:tc>
          <w:tcPr>
            <w:tcW w:w="74" w:type="dxa"/>
            <w:tcBorders>
              <w:bottom w:val="single" w:sz="6" w:space="0" w:color="auto"/>
            </w:tcBorders>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738"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r w:rsidRPr="00227C94">
              <w:rPr>
                <w:rFonts w:cs="Arial"/>
                <w:sz w:val="16"/>
                <w:szCs w:val="16"/>
              </w:rPr>
              <w:t>‘000 ounces</w:t>
            </w:r>
          </w:p>
        </w:tc>
        <w:tc>
          <w:tcPr>
            <w:tcW w:w="74" w:type="dxa"/>
            <w:tcBorders>
              <w:top w:val="single" w:sz="6" w:space="0" w:color="auto"/>
              <w:bottom w:val="single" w:sz="6" w:space="0" w:color="auto"/>
            </w:tcBorders>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506"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r w:rsidRPr="00227C94">
              <w:rPr>
                <w:rFonts w:cs="Arial"/>
                <w:sz w:val="16"/>
                <w:szCs w:val="16"/>
              </w:rPr>
              <w:t>%</w:t>
            </w:r>
          </w:p>
        </w:tc>
        <w:tc>
          <w:tcPr>
            <w:tcW w:w="74" w:type="dxa"/>
            <w:tcBorders>
              <w:bottom w:val="single" w:sz="6" w:space="0" w:color="auto"/>
            </w:tcBorders>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738"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r w:rsidRPr="00227C94">
              <w:rPr>
                <w:rFonts w:cs="Arial"/>
                <w:sz w:val="16"/>
                <w:szCs w:val="16"/>
              </w:rPr>
              <w:t>USD‘000</w:t>
            </w:r>
          </w:p>
        </w:tc>
        <w:tc>
          <w:tcPr>
            <w:tcW w:w="74" w:type="dxa"/>
            <w:tcBorders>
              <w:top w:val="single" w:sz="6" w:space="0" w:color="auto"/>
              <w:bottom w:val="single" w:sz="6" w:space="0" w:color="auto"/>
            </w:tcBorders>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506"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lang w:val="en-GB"/>
              </w:rPr>
            </w:pPr>
            <w:r w:rsidRPr="00227C94">
              <w:rPr>
                <w:rFonts w:cs="Arial"/>
                <w:sz w:val="16"/>
                <w:szCs w:val="16"/>
                <w:lang w:val="en-GB"/>
              </w:rPr>
              <w:t>%</w:t>
            </w:r>
          </w:p>
        </w:tc>
        <w:tc>
          <w:tcPr>
            <w:tcW w:w="74" w:type="dxa"/>
            <w:tcBorders>
              <w:bottom w:val="single" w:sz="6" w:space="0" w:color="auto"/>
            </w:tcBorders>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738"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r w:rsidRPr="00227C94">
              <w:rPr>
                <w:rFonts w:cs="Arial"/>
                <w:sz w:val="16"/>
                <w:szCs w:val="16"/>
              </w:rPr>
              <w:t>‘000 ounces</w:t>
            </w:r>
          </w:p>
        </w:tc>
        <w:tc>
          <w:tcPr>
            <w:tcW w:w="74" w:type="dxa"/>
            <w:tcBorders>
              <w:top w:val="single" w:sz="6" w:space="0" w:color="auto"/>
              <w:bottom w:val="single" w:sz="6" w:space="0" w:color="auto"/>
            </w:tcBorders>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506"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r w:rsidRPr="00227C94">
              <w:rPr>
                <w:rFonts w:cs="Arial"/>
                <w:sz w:val="16"/>
                <w:szCs w:val="16"/>
              </w:rPr>
              <w:t>%</w:t>
            </w:r>
          </w:p>
        </w:tc>
        <w:tc>
          <w:tcPr>
            <w:tcW w:w="74" w:type="dxa"/>
            <w:tcBorders>
              <w:bottom w:val="single" w:sz="6" w:space="0" w:color="auto"/>
            </w:tcBorders>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738"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r w:rsidRPr="00227C94">
              <w:rPr>
                <w:rFonts w:cs="Arial"/>
                <w:sz w:val="16"/>
                <w:szCs w:val="16"/>
              </w:rPr>
              <w:t>‘000 ounces</w:t>
            </w:r>
          </w:p>
        </w:tc>
        <w:tc>
          <w:tcPr>
            <w:tcW w:w="74" w:type="dxa"/>
            <w:tcBorders>
              <w:top w:val="single" w:sz="6" w:space="0" w:color="auto"/>
              <w:bottom w:val="single" w:sz="6" w:space="0" w:color="auto"/>
            </w:tcBorders>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506"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r w:rsidRPr="00227C94">
              <w:rPr>
                <w:rFonts w:cs="Arial"/>
                <w:sz w:val="16"/>
                <w:szCs w:val="16"/>
              </w:rPr>
              <w:t>%</w:t>
            </w:r>
          </w:p>
        </w:tc>
        <w:tc>
          <w:tcPr>
            <w:tcW w:w="74" w:type="dxa"/>
            <w:tcBorders>
              <w:bottom w:val="single" w:sz="6" w:space="0" w:color="auto"/>
            </w:tcBorders>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738"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rPr>
            </w:pPr>
            <w:r w:rsidRPr="00227C94">
              <w:rPr>
                <w:rFonts w:cs="Arial"/>
                <w:sz w:val="16"/>
                <w:szCs w:val="16"/>
              </w:rPr>
              <w:t>USD‘000</w:t>
            </w:r>
          </w:p>
        </w:tc>
        <w:tc>
          <w:tcPr>
            <w:tcW w:w="74" w:type="dxa"/>
            <w:tcBorders>
              <w:top w:val="single" w:sz="6" w:space="0" w:color="auto"/>
            </w:tcBorders>
            <w:shd w:val="clear" w:color="auto" w:fill="auto"/>
            <w:tcMar>
              <w:top w:w="0" w:type="dxa"/>
              <w:left w:w="0" w:type="dxa"/>
              <w:bottom w:w="0" w:type="dxa"/>
              <w:right w:w="0" w:type="dxa"/>
            </w:tcMar>
          </w:tcPr>
          <w:p w:rsidR="003E2C63" w:rsidRPr="00227C94" w:rsidRDefault="003E2C63" w:rsidP="003E2C63">
            <w:pPr>
              <w:pStyle w:val="tblHeaderText"/>
              <w:rPr>
                <w:rFonts w:cs="Arial"/>
                <w:sz w:val="16"/>
                <w:szCs w:val="16"/>
              </w:rPr>
            </w:pPr>
          </w:p>
        </w:tc>
        <w:tc>
          <w:tcPr>
            <w:tcW w:w="506" w:type="dxa"/>
            <w:tcBorders>
              <w:top w:val="single" w:sz="6" w:space="0" w:color="auto"/>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rPr>
                <w:rFonts w:cs="Arial"/>
                <w:sz w:val="16"/>
                <w:szCs w:val="16"/>
                <w:lang w:val="en-GB"/>
              </w:rPr>
            </w:pPr>
            <w:r w:rsidRPr="00227C94">
              <w:rPr>
                <w:rFonts w:cs="Arial"/>
                <w:sz w:val="16"/>
                <w:szCs w:val="16"/>
                <w:lang w:val="en-GB"/>
              </w:rPr>
              <w:t>%</w:t>
            </w:r>
          </w:p>
        </w:tc>
      </w:tr>
      <w:tr w:rsidR="003E2C63" w:rsidRPr="00227C94" w:rsidTr="003E2C63">
        <w:trPr>
          <w:cantSplit/>
        </w:trPr>
        <w:tc>
          <w:tcPr>
            <w:tcW w:w="1608" w:type="dxa"/>
            <w:tcBorders>
              <w:top w:val="single" w:sz="6" w:space="0" w:color="auto"/>
            </w:tcBorders>
            <w:shd w:val="clear" w:color="auto" w:fill="auto"/>
            <w:tcMar>
              <w:top w:w="0" w:type="dxa"/>
              <w:left w:w="0" w:type="dxa"/>
              <w:bottom w:w="0" w:type="dxa"/>
              <w:right w:w="0" w:type="dxa"/>
            </w:tcMar>
          </w:tcPr>
          <w:p w:rsidR="003E2C63" w:rsidRPr="00227C94" w:rsidRDefault="003E2C63" w:rsidP="00926E49">
            <w:pPr>
              <w:pStyle w:val="tblHeaderText"/>
              <w:jc w:val="left"/>
              <w:rPr>
                <w:rFonts w:cs="Arial"/>
                <w:sz w:val="16"/>
                <w:szCs w:val="16"/>
              </w:rPr>
            </w:pPr>
          </w:p>
        </w:tc>
        <w:tc>
          <w:tcPr>
            <w:tcW w:w="507" w:type="dxa"/>
            <w:tcBorders>
              <w:top w:val="single" w:sz="6" w:space="0" w:color="auto"/>
            </w:tcBorders>
            <w:shd w:val="clear" w:color="auto" w:fill="auto"/>
            <w:tcMar>
              <w:top w:w="0" w:type="dxa"/>
              <w:left w:w="0" w:type="dxa"/>
              <w:bottom w:w="0" w:type="dxa"/>
              <w:right w:w="0" w:type="dxa"/>
            </w:tcMar>
          </w:tcPr>
          <w:p w:rsidR="003E2C63" w:rsidRPr="00227C94" w:rsidRDefault="003E2C63" w:rsidP="00926E49">
            <w:pPr>
              <w:pStyle w:val="tblHeaderText"/>
              <w:rPr>
                <w:rFonts w:cs="Arial"/>
                <w:sz w:val="16"/>
                <w:szCs w:val="16"/>
              </w:rPr>
            </w:pPr>
          </w:p>
        </w:tc>
        <w:tc>
          <w:tcPr>
            <w:tcW w:w="739"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38"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38"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38"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38"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38"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38"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38"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4"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38"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74" w:type="dxa"/>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HeaderText"/>
              <w:jc w:val="right"/>
              <w:rPr>
                <w:rFonts w:cs="Arial"/>
                <w:sz w:val="16"/>
                <w:szCs w:val="16"/>
              </w:rPr>
            </w:pPr>
          </w:p>
        </w:tc>
      </w:tr>
      <w:tr w:rsidR="003E2C63" w:rsidRPr="00227C94" w:rsidTr="003E2C63">
        <w:trPr>
          <w:cantSplit/>
        </w:trPr>
        <w:tc>
          <w:tcPr>
            <w:tcW w:w="1608" w:type="dxa"/>
            <w:shd w:val="clear" w:color="auto" w:fill="auto"/>
            <w:tcMar>
              <w:top w:w="0" w:type="dxa"/>
              <w:left w:w="0" w:type="dxa"/>
              <w:bottom w:w="0" w:type="dxa"/>
              <w:right w:w="0" w:type="dxa"/>
            </w:tcMar>
          </w:tcPr>
          <w:p w:rsidR="003E2C63" w:rsidRPr="00227C94" w:rsidRDefault="003E2C63" w:rsidP="00926E49">
            <w:pPr>
              <w:pStyle w:val="tblText02"/>
              <w:rPr>
                <w:rFonts w:cs="Arial"/>
                <w:b/>
                <w:i/>
                <w:sz w:val="16"/>
                <w:szCs w:val="16"/>
              </w:rPr>
            </w:pPr>
            <w:r w:rsidRPr="00227C94">
              <w:rPr>
                <w:rFonts w:cs="Arial"/>
                <w:sz w:val="16"/>
                <w:szCs w:val="16"/>
              </w:rPr>
              <w:t>Krasnoyarsk business unit</w:t>
            </w:r>
          </w:p>
        </w:tc>
        <w:tc>
          <w:tcPr>
            <w:tcW w:w="507" w:type="dxa"/>
            <w:tcMar>
              <w:top w:w="0" w:type="dxa"/>
              <w:left w:w="0" w:type="dxa"/>
              <w:bottom w:w="0" w:type="dxa"/>
              <w:right w:w="0" w:type="dxa"/>
            </w:tcMar>
            <w:vAlign w:val="bottom"/>
          </w:tcPr>
          <w:p w:rsidR="003E2C63" w:rsidRPr="00227C94" w:rsidRDefault="003E2C63" w:rsidP="00926E49">
            <w:pPr>
              <w:pStyle w:val="tblNumber01"/>
              <w:rPr>
                <w:rFonts w:cs="Arial"/>
                <w:sz w:val="16"/>
                <w:szCs w:val="16"/>
              </w:rPr>
            </w:pPr>
            <w:r w:rsidRPr="00227C94">
              <w:rPr>
                <w:rFonts w:cs="Arial"/>
                <w:sz w:val="16"/>
                <w:szCs w:val="16"/>
              </w:rPr>
              <w:t>2.1</w:t>
            </w:r>
          </w:p>
        </w:tc>
        <w:tc>
          <w:tcPr>
            <w:tcW w:w="739"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538</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75</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554</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75</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916,086</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75</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445</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73</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464</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74</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669,570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74</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1,038</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69</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1,040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70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1,641,380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70</w:t>
            </w:r>
          </w:p>
        </w:tc>
      </w:tr>
      <w:tr w:rsidR="003E2C63" w:rsidRPr="00227C94" w:rsidTr="003E2C63">
        <w:trPr>
          <w:cantSplit/>
        </w:trPr>
        <w:tc>
          <w:tcPr>
            <w:tcW w:w="1608" w:type="dxa"/>
            <w:shd w:val="clear" w:color="auto" w:fill="auto"/>
            <w:tcMar>
              <w:top w:w="0" w:type="dxa"/>
              <w:left w:w="0" w:type="dxa"/>
              <w:bottom w:w="0" w:type="dxa"/>
              <w:right w:w="0" w:type="dxa"/>
            </w:tcMar>
          </w:tcPr>
          <w:p w:rsidR="003E2C63" w:rsidRPr="00227C94" w:rsidRDefault="003E2C63" w:rsidP="00926E49">
            <w:pPr>
              <w:pStyle w:val="tblText02"/>
              <w:rPr>
                <w:rFonts w:cs="Arial"/>
                <w:b/>
                <w:i/>
                <w:sz w:val="16"/>
                <w:szCs w:val="16"/>
              </w:rPr>
            </w:pPr>
            <w:r w:rsidRPr="00227C94">
              <w:rPr>
                <w:rFonts w:cs="Arial"/>
                <w:sz w:val="16"/>
                <w:szCs w:val="16"/>
              </w:rPr>
              <w:t>Irkutsk alluvial business unit</w:t>
            </w:r>
          </w:p>
        </w:tc>
        <w:tc>
          <w:tcPr>
            <w:tcW w:w="507" w:type="dxa"/>
            <w:tcMar>
              <w:top w:w="0" w:type="dxa"/>
              <w:left w:w="0" w:type="dxa"/>
              <w:bottom w:w="0" w:type="dxa"/>
              <w:right w:w="0" w:type="dxa"/>
            </w:tcMar>
            <w:vAlign w:val="bottom"/>
          </w:tcPr>
          <w:p w:rsidR="003E2C63" w:rsidRPr="00227C94" w:rsidRDefault="003E2C63" w:rsidP="00926E49">
            <w:pPr>
              <w:pStyle w:val="tblNumber01"/>
              <w:rPr>
                <w:rFonts w:cs="Arial"/>
                <w:sz w:val="16"/>
                <w:szCs w:val="16"/>
              </w:rPr>
            </w:pPr>
            <w:r w:rsidRPr="00227C94">
              <w:rPr>
                <w:rFonts w:cs="Arial"/>
                <w:sz w:val="16"/>
                <w:szCs w:val="16"/>
              </w:rPr>
              <w:t>2.2</w:t>
            </w:r>
          </w:p>
        </w:tc>
        <w:tc>
          <w:tcPr>
            <w:tcW w:w="739"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44</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6</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44</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6</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72,781</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6</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45</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7</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45</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7</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66,644</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7</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210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14</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210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14</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350,213</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15</w:t>
            </w:r>
          </w:p>
        </w:tc>
      </w:tr>
      <w:tr w:rsidR="003E2C63" w:rsidRPr="00227C94" w:rsidTr="003E2C63">
        <w:trPr>
          <w:cantSplit/>
        </w:trPr>
        <w:tc>
          <w:tcPr>
            <w:tcW w:w="1608" w:type="dxa"/>
            <w:shd w:val="clear" w:color="auto" w:fill="auto"/>
            <w:tcMar>
              <w:top w:w="0" w:type="dxa"/>
              <w:left w:w="0" w:type="dxa"/>
              <w:bottom w:w="0" w:type="dxa"/>
              <w:right w:w="0" w:type="dxa"/>
            </w:tcMar>
          </w:tcPr>
          <w:p w:rsidR="003E2C63" w:rsidRPr="00227C94" w:rsidRDefault="003E2C63" w:rsidP="00926E49">
            <w:pPr>
              <w:pStyle w:val="tblText02"/>
              <w:rPr>
                <w:rFonts w:cs="Arial"/>
                <w:b/>
                <w:i/>
                <w:sz w:val="16"/>
                <w:szCs w:val="16"/>
              </w:rPr>
            </w:pPr>
            <w:r w:rsidRPr="00227C94">
              <w:rPr>
                <w:rFonts w:cs="Arial"/>
                <w:sz w:val="16"/>
                <w:szCs w:val="16"/>
              </w:rPr>
              <w:t>Yakutia Kuranakh business unit</w:t>
            </w:r>
          </w:p>
        </w:tc>
        <w:tc>
          <w:tcPr>
            <w:tcW w:w="507" w:type="dxa"/>
            <w:tcMar>
              <w:top w:w="0" w:type="dxa"/>
              <w:left w:w="0" w:type="dxa"/>
              <w:bottom w:w="0" w:type="dxa"/>
              <w:right w:w="0" w:type="dxa"/>
            </w:tcMar>
            <w:vAlign w:val="bottom"/>
          </w:tcPr>
          <w:p w:rsidR="003E2C63" w:rsidRPr="00227C94" w:rsidRDefault="003E2C63" w:rsidP="00926E49">
            <w:pPr>
              <w:pStyle w:val="tblNumber01"/>
              <w:rPr>
                <w:rFonts w:cs="Arial"/>
                <w:sz w:val="16"/>
                <w:szCs w:val="16"/>
              </w:rPr>
            </w:pPr>
            <w:r w:rsidRPr="00227C94">
              <w:rPr>
                <w:rFonts w:cs="Arial"/>
                <w:sz w:val="16"/>
                <w:szCs w:val="16"/>
              </w:rPr>
              <w:t>2.3</w:t>
            </w:r>
          </w:p>
        </w:tc>
        <w:tc>
          <w:tcPr>
            <w:tcW w:w="739"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70</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10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70</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9</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114,873</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9</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55</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9</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55</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9</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78,662</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9</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117</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8</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117</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8</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184,735</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8</w:t>
            </w:r>
          </w:p>
        </w:tc>
      </w:tr>
      <w:tr w:rsidR="003E2C63" w:rsidRPr="00227C94" w:rsidTr="003E2C63">
        <w:trPr>
          <w:cantSplit/>
        </w:trPr>
        <w:tc>
          <w:tcPr>
            <w:tcW w:w="1608" w:type="dxa"/>
            <w:shd w:val="clear" w:color="auto" w:fill="auto"/>
            <w:tcMar>
              <w:top w:w="0" w:type="dxa"/>
              <w:left w:w="0" w:type="dxa"/>
              <w:bottom w:w="0" w:type="dxa"/>
              <w:right w:w="0" w:type="dxa"/>
            </w:tcMar>
          </w:tcPr>
          <w:p w:rsidR="003E2C63" w:rsidRPr="00227C94" w:rsidRDefault="003E2C63" w:rsidP="00926E49">
            <w:pPr>
              <w:pStyle w:val="tblText02"/>
              <w:rPr>
                <w:rFonts w:cs="Arial"/>
                <w:b/>
                <w:i/>
                <w:sz w:val="16"/>
                <w:szCs w:val="16"/>
              </w:rPr>
            </w:pPr>
            <w:r w:rsidRPr="00227C94">
              <w:rPr>
                <w:rFonts w:cs="Arial"/>
                <w:sz w:val="16"/>
                <w:szCs w:val="16"/>
              </w:rPr>
              <w:t>Irkutsk ore business unit</w:t>
            </w:r>
          </w:p>
        </w:tc>
        <w:tc>
          <w:tcPr>
            <w:tcW w:w="507" w:type="dxa"/>
            <w:tcMar>
              <w:top w:w="0" w:type="dxa"/>
              <w:left w:w="0" w:type="dxa"/>
              <w:bottom w:w="0" w:type="dxa"/>
              <w:right w:w="0" w:type="dxa"/>
            </w:tcMar>
            <w:vAlign w:val="bottom"/>
          </w:tcPr>
          <w:p w:rsidR="003E2C63" w:rsidRPr="00227C94" w:rsidRDefault="003E2C63" w:rsidP="00926E49">
            <w:pPr>
              <w:pStyle w:val="tblNumber01"/>
              <w:rPr>
                <w:rFonts w:cs="Arial"/>
                <w:sz w:val="16"/>
                <w:szCs w:val="16"/>
              </w:rPr>
            </w:pPr>
            <w:r w:rsidRPr="00227C94">
              <w:rPr>
                <w:rFonts w:cs="Arial"/>
                <w:sz w:val="16"/>
                <w:szCs w:val="16"/>
              </w:rPr>
              <w:t>2.4</w:t>
            </w:r>
          </w:p>
        </w:tc>
        <w:tc>
          <w:tcPr>
            <w:tcW w:w="739"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18</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3</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18</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2</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29,134</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2</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10</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2</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3</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pStyle w:val="tblNumberDash"/>
              <w:rPr>
                <w:rFonts w:cs="Arial"/>
                <w:sz w:val="16"/>
                <w:szCs w:val="16"/>
              </w:rPr>
            </w:pPr>
            <w:r w:rsidRPr="00227C94">
              <w:rPr>
                <w:rFonts w:cs="Arial"/>
                <w:sz w:val="16"/>
                <w:szCs w:val="16"/>
              </w:rPr>
              <w:t>-</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3,590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shd w:val="clear" w:color="auto" w:fill="auto"/>
            <w:tcMar>
              <w:top w:w="0" w:type="dxa"/>
              <w:left w:w="0" w:type="dxa"/>
              <w:bottom w:w="0" w:type="dxa"/>
              <w:right w:w="0" w:type="dxa"/>
            </w:tcMar>
            <w:vAlign w:val="bottom"/>
          </w:tcPr>
          <w:p w:rsidR="003E2C63" w:rsidRPr="00227C94" w:rsidRDefault="003E2C63" w:rsidP="003E2C63">
            <w:pPr>
              <w:pStyle w:val="tblNumberDash"/>
              <w:rPr>
                <w:rFonts w:cs="Arial"/>
                <w:sz w:val="16"/>
                <w:szCs w:val="16"/>
              </w:rPr>
            </w:pPr>
            <w:r w:rsidRPr="00227C94">
              <w:rPr>
                <w:rFonts w:cs="Arial"/>
                <w:sz w:val="16"/>
                <w:szCs w:val="16"/>
              </w:rPr>
              <w:t>-</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16</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1</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3</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Mar>
              <w:top w:w="0" w:type="dxa"/>
              <w:left w:w="0" w:type="dxa"/>
              <w:bottom w:w="0" w:type="dxa"/>
              <w:right w:w="0" w:type="dxa"/>
            </w:tcMar>
            <w:vAlign w:val="bottom"/>
          </w:tcPr>
          <w:p w:rsidR="003E2C63" w:rsidRPr="00227C94" w:rsidRDefault="003E2C63" w:rsidP="003E2C63">
            <w:pPr>
              <w:pStyle w:val="tblNumberDash"/>
              <w:rPr>
                <w:rFonts w:cs="Arial"/>
                <w:sz w:val="16"/>
                <w:szCs w:val="16"/>
              </w:rPr>
            </w:pPr>
            <w:r w:rsidRPr="00227C94">
              <w:rPr>
                <w:rFonts w:cs="Arial"/>
                <w:sz w:val="16"/>
                <w:szCs w:val="16"/>
              </w:rPr>
              <w:t>-</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3,497</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Mar>
              <w:top w:w="0" w:type="dxa"/>
              <w:left w:w="0" w:type="dxa"/>
              <w:bottom w:w="0" w:type="dxa"/>
              <w:right w:w="0" w:type="dxa"/>
            </w:tcMar>
            <w:vAlign w:val="bottom"/>
          </w:tcPr>
          <w:p w:rsidR="003E2C63" w:rsidRPr="00227C94" w:rsidRDefault="003E2C63" w:rsidP="003E2C63">
            <w:pPr>
              <w:pStyle w:val="tblNumberDash"/>
              <w:rPr>
                <w:rFonts w:cs="Arial"/>
                <w:sz w:val="16"/>
                <w:szCs w:val="16"/>
              </w:rPr>
            </w:pPr>
            <w:r w:rsidRPr="00227C94">
              <w:rPr>
                <w:rFonts w:cs="Arial"/>
                <w:sz w:val="16"/>
                <w:szCs w:val="16"/>
              </w:rPr>
              <w:t>-</w:t>
            </w:r>
          </w:p>
        </w:tc>
      </w:tr>
      <w:tr w:rsidR="003E2C63" w:rsidRPr="00227C94" w:rsidTr="003E2C63">
        <w:trPr>
          <w:cantSplit/>
        </w:trPr>
        <w:tc>
          <w:tcPr>
            <w:tcW w:w="1608" w:type="dxa"/>
            <w:shd w:val="clear" w:color="auto" w:fill="auto"/>
            <w:tcMar>
              <w:top w:w="0" w:type="dxa"/>
              <w:left w:w="0" w:type="dxa"/>
              <w:bottom w:w="0" w:type="dxa"/>
              <w:right w:w="0" w:type="dxa"/>
            </w:tcMar>
          </w:tcPr>
          <w:p w:rsidR="003E2C63" w:rsidRPr="00227C94" w:rsidRDefault="003E2C63" w:rsidP="00926E49">
            <w:pPr>
              <w:pStyle w:val="tblText02"/>
              <w:rPr>
                <w:rFonts w:cs="Arial"/>
                <w:b/>
                <w:i/>
                <w:sz w:val="16"/>
                <w:szCs w:val="16"/>
              </w:rPr>
            </w:pPr>
            <w:r w:rsidRPr="00227C94">
              <w:rPr>
                <w:rFonts w:cs="Arial"/>
                <w:sz w:val="16"/>
                <w:szCs w:val="16"/>
              </w:rPr>
              <w:t>Kazakhstan business unit</w:t>
            </w:r>
          </w:p>
        </w:tc>
        <w:tc>
          <w:tcPr>
            <w:tcW w:w="507" w:type="dxa"/>
            <w:tcMar>
              <w:top w:w="0" w:type="dxa"/>
              <w:left w:w="0" w:type="dxa"/>
              <w:bottom w:w="0" w:type="dxa"/>
              <w:right w:w="0" w:type="dxa"/>
            </w:tcMar>
            <w:vAlign w:val="bottom"/>
          </w:tcPr>
          <w:p w:rsidR="003E2C63" w:rsidRPr="00227C94" w:rsidRDefault="003E2C63" w:rsidP="00926E49">
            <w:pPr>
              <w:pStyle w:val="tblNumber01"/>
              <w:rPr>
                <w:rFonts w:cs="Arial"/>
                <w:sz w:val="16"/>
                <w:szCs w:val="16"/>
              </w:rPr>
            </w:pPr>
            <w:r w:rsidRPr="00227C94">
              <w:rPr>
                <w:rFonts w:cs="Arial"/>
                <w:sz w:val="16"/>
                <w:szCs w:val="16"/>
              </w:rPr>
              <w:t>2.5</w:t>
            </w:r>
          </w:p>
        </w:tc>
        <w:tc>
          <w:tcPr>
            <w:tcW w:w="739"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51</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7</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56</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8</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90,992</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7</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57</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r w:rsidRPr="00227C94">
              <w:rPr>
                <w:rFonts w:ascii="Arial" w:hAnsi="Arial" w:cs="Arial"/>
                <w:sz w:val="16"/>
                <w:szCs w:val="16"/>
              </w:rPr>
              <w:t>9</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63</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10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83,286</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9</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bCs/>
                <w:sz w:val="16"/>
                <w:szCs w:val="16"/>
              </w:rPr>
            </w:pPr>
            <w:r w:rsidRPr="00227C94">
              <w:rPr>
                <w:rFonts w:cs="Arial"/>
                <w:sz w:val="16"/>
                <w:szCs w:val="16"/>
              </w:rPr>
              <w:t>117</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8</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bCs/>
                <w:sz w:val="16"/>
                <w:szCs w:val="16"/>
              </w:rPr>
            </w:pPr>
            <w:r w:rsidRPr="00227C94">
              <w:rPr>
                <w:rFonts w:cs="Arial"/>
                <w:sz w:val="16"/>
                <w:szCs w:val="16"/>
              </w:rPr>
              <w:t>113</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8</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bCs/>
                <w:sz w:val="16"/>
                <w:szCs w:val="16"/>
              </w:rPr>
            </w:pPr>
            <w:r w:rsidRPr="00227C94">
              <w:rPr>
                <w:rFonts w:cs="Arial"/>
                <w:sz w:val="16"/>
                <w:szCs w:val="16"/>
              </w:rPr>
              <w:t>160,825</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Borders>
              <w:bottom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r w:rsidRPr="00227C94">
              <w:rPr>
                <w:rFonts w:cs="Arial"/>
                <w:sz w:val="16"/>
                <w:szCs w:val="16"/>
              </w:rPr>
              <w:t>7</w:t>
            </w:r>
          </w:p>
        </w:tc>
      </w:tr>
      <w:tr w:rsidR="003E2C63" w:rsidRPr="00227C94" w:rsidTr="003E2C63">
        <w:trPr>
          <w:cantSplit/>
        </w:trPr>
        <w:tc>
          <w:tcPr>
            <w:tcW w:w="1608" w:type="dxa"/>
            <w:shd w:val="clear" w:color="auto" w:fill="auto"/>
            <w:tcMar>
              <w:top w:w="0" w:type="dxa"/>
              <w:left w:w="0" w:type="dxa"/>
              <w:bottom w:w="0" w:type="dxa"/>
              <w:right w:w="0" w:type="dxa"/>
            </w:tcMar>
          </w:tcPr>
          <w:p w:rsidR="003E2C63" w:rsidRPr="00227C94" w:rsidRDefault="003E2C63" w:rsidP="00926E49">
            <w:pPr>
              <w:pStyle w:val="tblText02"/>
              <w:rPr>
                <w:rFonts w:cs="Arial"/>
                <w:sz w:val="16"/>
                <w:szCs w:val="16"/>
              </w:rPr>
            </w:pPr>
          </w:p>
        </w:tc>
        <w:tc>
          <w:tcPr>
            <w:tcW w:w="507" w:type="dxa"/>
            <w:tcMar>
              <w:top w:w="0" w:type="dxa"/>
              <w:left w:w="0" w:type="dxa"/>
              <w:bottom w:w="0" w:type="dxa"/>
              <w:right w:w="0" w:type="dxa"/>
            </w:tcMar>
            <w:vAlign w:val="bottom"/>
          </w:tcPr>
          <w:p w:rsidR="003E2C63" w:rsidRPr="00227C94" w:rsidRDefault="003E2C63" w:rsidP="00926E49">
            <w:pPr>
              <w:pStyle w:val="tblNumber01"/>
              <w:rPr>
                <w:rFonts w:cs="Arial"/>
                <w:sz w:val="16"/>
                <w:szCs w:val="16"/>
              </w:rPr>
            </w:pPr>
          </w:p>
        </w:tc>
        <w:tc>
          <w:tcPr>
            <w:tcW w:w="739"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sz w:val="16"/>
                <w:szCs w:val="16"/>
              </w:rPr>
            </w:pP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38"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74" w:type="dxa"/>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c>
          <w:tcPr>
            <w:tcW w:w="506" w:type="dxa"/>
            <w:tcBorders>
              <w:top w:val="sing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sz w:val="16"/>
                <w:szCs w:val="16"/>
              </w:rPr>
            </w:pPr>
          </w:p>
        </w:tc>
      </w:tr>
      <w:tr w:rsidR="003E2C63" w:rsidRPr="00227C94" w:rsidTr="003E2C63">
        <w:trPr>
          <w:cantSplit/>
        </w:trPr>
        <w:tc>
          <w:tcPr>
            <w:tcW w:w="1608" w:type="dxa"/>
            <w:shd w:val="clear" w:color="auto" w:fill="auto"/>
            <w:tcMar>
              <w:top w:w="0" w:type="dxa"/>
              <w:left w:w="0" w:type="dxa"/>
              <w:bottom w:w="0" w:type="dxa"/>
              <w:right w:w="0" w:type="dxa"/>
            </w:tcMar>
            <w:vAlign w:val="bottom"/>
          </w:tcPr>
          <w:p w:rsidR="003E2C63" w:rsidRPr="00227C94" w:rsidRDefault="003E2C63" w:rsidP="00926E49">
            <w:pPr>
              <w:pStyle w:val="tblText02"/>
              <w:rPr>
                <w:rFonts w:cs="Arial"/>
                <w:b/>
                <w:i/>
                <w:sz w:val="16"/>
                <w:szCs w:val="16"/>
              </w:rPr>
            </w:pPr>
            <w:r w:rsidRPr="00227C94">
              <w:rPr>
                <w:rFonts w:cs="Arial"/>
                <w:b/>
                <w:sz w:val="16"/>
                <w:szCs w:val="16"/>
              </w:rPr>
              <w:t>Group total</w:t>
            </w:r>
            <w:r w:rsidRPr="00227C94">
              <w:rPr>
                <w:rFonts w:cs="Arial"/>
                <w:b/>
                <w:sz w:val="16"/>
                <w:szCs w:val="16"/>
                <w:vertAlign w:val="superscript"/>
              </w:rPr>
              <w:t>(1)</w:t>
            </w:r>
          </w:p>
        </w:tc>
        <w:tc>
          <w:tcPr>
            <w:tcW w:w="507" w:type="dxa"/>
            <w:tcMar>
              <w:top w:w="0" w:type="dxa"/>
              <w:left w:w="0" w:type="dxa"/>
              <w:bottom w:w="0" w:type="dxa"/>
              <w:right w:w="0" w:type="dxa"/>
            </w:tcMar>
            <w:vAlign w:val="bottom"/>
          </w:tcPr>
          <w:p w:rsidR="003E2C63" w:rsidRPr="00227C94" w:rsidRDefault="003E2C63" w:rsidP="00926E49">
            <w:pPr>
              <w:pStyle w:val="tblNumber01"/>
              <w:rPr>
                <w:rFonts w:cs="Arial"/>
                <w:b/>
                <w:sz w:val="16"/>
                <w:szCs w:val="16"/>
              </w:rPr>
            </w:pPr>
          </w:p>
        </w:tc>
        <w:tc>
          <w:tcPr>
            <w:tcW w:w="739"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b/>
                <w:sz w:val="16"/>
                <w:szCs w:val="16"/>
              </w:rPr>
            </w:pPr>
            <w:r w:rsidRPr="00227C94">
              <w:rPr>
                <w:rFonts w:ascii="Arial" w:hAnsi="Arial" w:cs="Arial"/>
                <w:b/>
                <w:sz w:val="16"/>
                <w:szCs w:val="16"/>
              </w:rPr>
              <w:t>721</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b/>
                <w:sz w:val="16"/>
                <w:szCs w:val="16"/>
              </w:rPr>
            </w:pPr>
          </w:p>
        </w:tc>
        <w:tc>
          <w:tcPr>
            <w:tcW w:w="506"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b/>
                <w:sz w:val="16"/>
                <w:szCs w:val="16"/>
              </w:rPr>
            </w:pPr>
            <w:r w:rsidRPr="00227C94">
              <w:rPr>
                <w:rFonts w:ascii="Arial" w:hAnsi="Arial" w:cs="Arial"/>
                <w:b/>
                <w:sz w:val="16"/>
                <w:szCs w:val="16"/>
              </w:rPr>
              <w:t>100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b/>
                <w:sz w:val="16"/>
                <w:szCs w:val="16"/>
              </w:rPr>
            </w:pPr>
          </w:p>
        </w:tc>
        <w:tc>
          <w:tcPr>
            <w:tcW w:w="738"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b/>
                <w:sz w:val="16"/>
                <w:szCs w:val="16"/>
              </w:rPr>
            </w:pPr>
            <w:r w:rsidRPr="00227C94">
              <w:rPr>
                <w:rFonts w:ascii="Arial" w:hAnsi="Arial" w:cs="Arial"/>
                <w:b/>
                <w:sz w:val="16"/>
                <w:szCs w:val="16"/>
              </w:rPr>
              <w:t>742</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b/>
                <w:sz w:val="16"/>
                <w:szCs w:val="16"/>
              </w:rPr>
            </w:pPr>
          </w:p>
        </w:tc>
        <w:tc>
          <w:tcPr>
            <w:tcW w:w="506"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b/>
                <w:sz w:val="16"/>
                <w:szCs w:val="16"/>
              </w:rPr>
            </w:pPr>
            <w:r w:rsidRPr="00227C94">
              <w:rPr>
                <w:rFonts w:ascii="Arial" w:hAnsi="Arial" w:cs="Arial"/>
                <w:b/>
                <w:sz w:val="16"/>
                <w:szCs w:val="16"/>
              </w:rPr>
              <w:t>100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b/>
                <w:sz w:val="16"/>
                <w:szCs w:val="16"/>
              </w:rPr>
            </w:pPr>
          </w:p>
        </w:tc>
        <w:tc>
          <w:tcPr>
            <w:tcW w:w="738"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b/>
                <w:sz w:val="16"/>
                <w:szCs w:val="16"/>
              </w:rPr>
            </w:pPr>
            <w:r w:rsidRPr="00227C94">
              <w:rPr>
                <w:rFonts w:ascii="Arial" w:hAnsi="Arial" w:cs="Arial"/>
                <w:b/>
                <w:sz w:val="16"/>
                <w:szCs w:val="16"/>
              </w:rPr>
              <w:t>1,223,866</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b/>
                <w:sz w:val="16"/>
                <w:szCs w:val="16"/>
              </w:rPr>
            </w:pPr>
          </w:p>
        </w:tc>
        <w:tc>
          <w:tcPr>
            <w:tcW w:w="506"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b/>
                <w:sz w:val="16"/>
                <w:szCs w:val="16"/>
              </w:rPr>
            </w:pPr>
            <w:r w:rsidRPr="00227C94">
              <w:rPr>
                <w:rFonts w:ascii="Arial" w:hAnsi="Arial" w:cs="Arial"/>
                <w:b/>
                <w:sz w:val="16"/>
                <w:szCs w:val="16"/>
              </w:rPr>
              <w:t>100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b/>
                <w:sz w:val="16"/>
                <w:szCs w:val="16"/>
              </w:rPr>
            </w:pPr>
          </w:p>
        </w:tc>
        <w:tc>
          <w:tcPr>
            <w:tcW w:w="738"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b/>
                <w:sz w:val="16"/>
                <w:szCs w:val="16"/>
              </w:rPr>
            </w:pPr>
            <w:r w:rsidRPr="00227C94">
              <w:rPr>
                <w:rFonts w:ascii="Arial" w:hAnsi="Arial" w:cs="Arial"/>
                <w:b/>
                <w:sz w:val="16"/>
                <w:szCs w:val="16"/>
              </w:rPr>
              <w:t>611</w:t>
            </w:r>
          </w:p>
        </w:tc>
        <w:tc>
          <w:tcPr>
            <w:tcW w:w="74" w:type="dxa"/>
            <w:tcMar>
              <w:top w:w="0" w:type="dxa"/>
              <w:left w:w="0" w:type="dxa"/>
              <w:bottom w:w="0" w:type="dxa"/>
              <w:right w:w="0" w:type="dxa"/>
            </w:tcMar>
            <w:vAlign w:val="bottom"/>
          </w:tcPr>
          <w:p w:rsidR="003E2C63" w:rsidRPr="00227C94" w:rsidRDefault="003E2C63" w:rsidP="003E2C63">
            <w:pPr>
              <w:jc w:val="right"/>
              <w:rPr>
                <w:rFonts w:ascii="Arial" w:hAnsi="Arial" w:cs="Arial"/>
                <w:b/>
                <w:sz w:val="16"/>
                <w:szCs w:val="16"/>
              </w:rPr>
            </w:pPr>
          </w:p>
        </w:tc>
        <w:tc>
          <w:tcPr>
            <w:tcW w:w="506"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jc w:val="right"/>
              <w:rPr>
                <w:rFonts w:ascii="Arial" w:hAnsi="Arial" w:cs="Arial"/>
                <w:b/>
                <w:sz w:val="16"/>
                <w:szCs w:val="16"/>
              </w:rPr>
            </w:pPr>
            <w:r w:rsidRPr="00227C94">
              <w:rPr>
                <w:rFonts w:ascii="Arial" w:hAnsi="Arial" w:cs="Arial"/>
                <w:b/>
                <w:sz w:val="16"/>
                <w:szCs w:val="16"/>
              </w:rPr>
              <w:t>100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b/>
                <w:sz w:val="16"/>
                <w:szCs w:val="16"/>
              </w:rPr>
            </w:pPr>
          </w:p>
        </w:tc>
        <w:tc>
          <w:tcPr>
            <w:tcW w:w="738"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b/>
                <w:sz w:val="16"/>
                <w:szCs w:val="16"/>
              </w:rPr>
            </w:pPr>
            <w:r w:rsidRPr="00227C94">
              <w:rPr>
                <w:rFonts w:cs="Arial"/>
                <w:b/>
                <w:sz w:val="16"/>
                <w:szCs w:val="16"/>
              </w:rPr>
              <w:t>629</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b/>
                <w:sz w:val="16"/>
                <w:szCs w:val="16"/>
              </w:rPr>
            </w:pPr>
          </w:p>
        </w:tc>
        <w:tc>
          <w:tcPr>
            <w:tcW w:w="506"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b/>
                <w:sz w:val="16"/>
                <w:szCs w:val="16"/>
              </w:rPr>
            </w:pPr>
            <w:r w:rsidRPr="00227C94">
              <w:rPr>
                <w:rFonts w:cs="Arial"/>
                <w:b/>
                <w:sz w:val="16"/>
                <w:szCs w:val="16"/>
              </w:rPr>
              <w:t>100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b/>
                <w:sz w:val="16"/>
                <w:szCs w:val="16"/>
              </w:rPr>
            </w:pPr>
          </w:p>
        </w:tc>
        <w:tc>
          <w:tcPr>
            <w:tcW w:w="738"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b/>
                <w:sz w:val="16"/>
                <w:szCs w:val="16"/>
              </w:rPr>
            </w:pPr>
            <w:r w:rsidRPr="00227C94">
              <w:rPr>
                <w:rFonts w:cs="Arial"/>
                <w:b/>
                <w:sz w:val="16"/>
                <w:szCs w:val="16"/>
              </w:rPr>
              <w:t>901,752</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b/>
                <w:sz w:val="16"/>
                <w:szCs w:val="16"/>
              </w:rPr>
            </w:pPr>
          </w:p>
        </w:tc>
        <w:tc>
          <w:tcPr>
            <w:tcW w:w="506"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b/>
                <w:sz w:val="16"/>
                <w:szCs w:val="16"/>
              </w:rPr>
            </w:pPr>
            <w:r w:rsidRPr="00227C94">
              <w:rPr>
                <w:rFonts w:cs="Arial"/>
                <w:b/>
                <w:sz w:val="16"/>
                <w:szCs w:val="16"/>
              </w:rPr>
              <w:t>100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b/>
                <w:sz w:val="16"/>
                <w:szCs w:val="16"/>
              </w:rPr>
            </w:pPr>
          </w:p>
        </w:tc>
        <w:tc>
          <w:tcPr>
            <w:tcW w:w="738"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b/>
                <w:sz w:val="16"/>
                <w:szCs w:val="16"/>
              </w:rPr>
            </w:pPr>
            <w:r w:rsidRPr="00227C94">
              <w:rPr>
                <w:rFonts w:cs="Arial"/>
                <w:b/>
                <w:sz w:val="16"/>
                <w:szCs w:val="16"/>
              </w:rPr>
              <w:t>1,497</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b/>
                <w:sz w:val="16"/>
                <w:szCs w:val="16"/>
              </w:rPr>
            </w:pPr>
          </w:p>
        </w:tc>
        <w:tc>
          <w:tcPr>
            <w:tcW w:w="506"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b/>
                <w:sz w:val="16"/>
                <w:szCs w:val="16"/>
              </w:rPr>
            </w:pPr>
            <w:r w:rsidRPr="00227C94">
              <w:rPr>
                <w:rFonts w:cs="Arial"/>
                <w:b/>
                <w:sz w:val="16"/>
                <w:szCs w:val="16"/>
              </w:rPr>
              <w:t>100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b/>
                <w:sz w:val="16"/>
                <w:szCs w:val="16"/>
              </w:rPr>
            </w:pPr>
          </w:p>
        </w:tc>
        <w:tc>
          <w:tcPr>
            <w:tcW w:w="738"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b/>
                <w:sz w:val="16"/>
                <w:szCs w:val="16"/>
              </w:rPr>
            </w:pPr>
            <w:r w:rsidRPr="00227C94">
              <w:rPr>
                <w:rFonts w:cs="Arial"/>
                <w:b/>
                <w:sz w:val="16"/>
                <w:szCs w:val="16"/>
              </w:rPr>
              <w:t>1,483</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b/>
                <w:sz w:val="16"/>
                <w:szCs w:val="16"/>
              </w:rPr>
            </w:pPr>
          </w:p>
        </w:tc>
        <w:tc>
          <w:tcPr>
            <w:tcW w:w="506"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b/>
                <w:sz w:val="16"/>
                <w:szCs w:val="16"/>
              </w:rPr>
            </w:pPr>
            <w:r w:rsidRPr="00227C94">
              <w:rPr>
                <w:rFonts w:cs="Arial"/>
                <w:b/>
                <w:sz w:val="16"/>
                <w:szCs w:val="16"/>
              </w:rPr>
              <w:t>100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b/>
                <w:sz w:val="16"/>
                <w:szCs w:val="16"/>
              </w:rPr>
            </w:pPr>
          </w:p>
        </w:tc>
        <w:tc>
          <w:tcPr>
            <w:tcW w:w="738"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b/>
                <w:bCs/>
                <w:spacing w:val="-4"/>
                <w:sz w:val="16"/>
                <w:szCs w:val="16"/>
              </w:rPr>
            </w:pPr>
            <w:r w:rsidRPr="00227C94">
              <w:rPr>
                <w:rFonts w:cs="Arial"/>
                <w:b/>
                <w:spacing w:val="-4"/>
                <w:sz w:val="16"/>
                <w:szCs w:val="16"/>
              </w:rPr>
              <w:t>2,340,650</w:t>
            </w:r>
          </w:p>
        </w:tc>
        <w:tc>
          <w:tcPr>
            <w:tcW w:w="74" w:type="dxa"/>
            <w:tcMar>
              <w:top w:w="0" w:type="dxa"/>
              <w:left w:w="0" w:type="dxa"/>
              <w:bottom w:w="0" w:type="dxa"/>
              <w:right w:w="0" w:type="dxa"/>
            </w:tcMar>
            <w:vAlign w:val="bottom"/>
          </w:tcPr>
          <w:p w:rsidR="003E2C63" w:rsidRPr="00227C94" w:rsidRDefault="003E2C63" w:rsidP="003E2C63">
            <w:pPr>
              <w:pStyle w:val="tblNumber01"/>
              <w:rPr>
                <w:rFonts w:cs="Arial"/>
                <w:b/>
                <w:sz w:val="16"/>
                <w:szCs w:val="16"/>
              </w:rPr>
            </w:pPr>
          </w:p>
        </w:tc>
        <w:tc>
          <w:tcPr>
            <w:tcW w:w="506" w:type="dxa"/>
            <w:tcBorders>
              <w:bottom w:val="double" w:sz="6" w:space="0" w:color="auto"/>
            </w:tcBorders>
            <w:shd w:val="clear" w:color="auto" w:fill="auto"/>
            <w:tcMar>
              <w:top w:w="0" w:type="dxa"/>
              <w:left w:w="0" w:type="dxa"/>
              <w:bottom w:w="0" w:type="dxa"/>
              <w:right w:w="0" w:type="dxa"/>
            </w:tcMar>
            <w:vAlign w:val="bottom"/>
          </w:tcPr>
          <w:p w:rsidR="003E2C63" w:rsidRPr="00227C94" w:rsidRDefault="003E2C63" w:rsidP="003E2C63">
            <w:pPr>
              <w:pStyle w:val="tblNumber01"/>
              <w:rPr>
                <w:rFonts w:cs="Arial"/>
                <w:b/>
                <w:sz w:val="16"/>
                <w:szCs w:val="16"/>
              </w:rPr>
            </w:pPr>
            <w:r w:rsidRPr="00227C94">
              <w:rPr>
                <w:rFonts w:cs="Arial"/>
                <w:b/>
                <w:sz w:val="16"/>
                <w:szCs w:val="16"/>
              </w:rPr>
              <w:t>100</w:t>
            </w:r>
          </w:p>
        </w:tc>
      </w:tr>
    </w:tbl>
    <w:p w:rsidR="00916675" w:rsidRPr="00227C94" w:rsidRDefault="008F3095" w:rsidP="008F3095">
      <w:pPr>
        <w:pStyle w:val="34"/>
        <w:rPr>
          <w:lang w:val="en-US"/>
        </w:rPr>
      </w:pPr>
      <w:r w:rsidRPr="00227C94">
        <w:rPr>
          <w:lang w:val="en-US"/>
        </w:rPr>
        <w:t>_____________________________</w:t>
      </w:r>
    </w:p>
    <w:p w:rsidR="00916675" w:rsidRPr="00227C94" w:rsidRDefault="00916675" w:rsidP="002E73D5">
      <w:pPr>
        <w:pStyle w:val="a"/>
        <w:numPr>
          <w:ilvl w:val="0"/>
          <w:numId w:val="23"/>
        </w:numPr>
        <w:rPr>
          <w:sz w:val="16"/>
          <w:lang w:val="en-US"/>
        </w:rPr>
      </w:pPr>
      <w:r w:rsidRPr="00227C94">
        <w:rPr>
          <w:sz w:val="16"/>
          <w:lang w:val="en-US"/>
        </w:rPr>
        <w:t>In this table and in the tables in notes 2.1-2.5 to IMS totals may not sum completely due to rounding.</w:t>
      </w:r>
    </w:p>
    <w:p w:rsidR="00916675" w:rsidRPr="00227C94" w:rsidRDefault="00916675" w:rsidP="008F3095">
      <w:pPr>
        <w:pStyle w:val="34"/>
        <w:rPr>
          <w:lang w:val="en-US"/>
        </w:rPr>
      </w:pPr>
    </w:p>
    <w:p w:rsidR="00916675" w:rsidRPr="00227C94" w:rsidRDefault="00916675" w:rsidP="008F3095">
      <w:pPr>
        <w:pStyle w:val="34"/>
        <w:rPr>
          <w:lang w:val="en-US"/>
        </w:rPr>
      </w:pPr>
      <w:bookmarkStart w:id="234" w:name="_DV_M242"/>
      <w:bookmarkStart w:id="235" w:name="_DV_M243"/>
      <w:bookmarkStart w:id="236" w:name="_DV_M249"/>
      <w:bookmarkStart w:id="237" w:name="_DV_M253"/>
      <w:bookmarkEnd w:id="234"/>
      <w:bookmarkEnd w:id="235"/>
      <w:bookmarkEnd w:id="236"/>
      <w:bookmarkEnd w:id="237"/>
    </w:p>
    <w:p w:rsidR="00926E49" w:rsidRPr="00227C94" w:rsidRDefault="00926E49" w:rsidP="008F3095">
      <w:pPr>
        <w:pStyle w:val="34"/>
        <w:rPr>
          <w:lang w:val="en-US"/>
        </w:rPr>
      </w:pPr>
      <w:bookmarkStart w:id="238" w:name="_Toc320887005"/>
    </w:p>
    <w:p w:rsidR="003E2C63" w:rsidRPr="00227C94" w:rsidRDefault="003E2C63" w:rsidP="008F3095">
      <w:pPr>
        <w:pStyle w:val="34"/>
        <w:rPr>
          <w:lang w:val="en-US"/>
        </w:rPr>
        <w:sectPr w:rsidR="003E2C63" w:rsidRPr="00227C94" w:rsidSect="00926E49">
          <w:pgSz w:w="16838" w:h="11906" w:orient="landscape"/>
          <w:pgMar w:top="1417" w:right="1134" w:bottom="850" w:left="1134" w:header="709" w:footer="709" w:gutter="0"/>
          <w:cols w:space="708"/>
          <w:docGrid w:linePitch="360"/>
        </w:sectPr>
      </w:pPr>
    </w:p>
    <w:p w:rsidR="00916675" w:rsidRPr="00227C94" w:rsidRDefault="00916675" w:rsidP="00926E49">
      <w:pPr>
        <w:pStyle w:val="22"/>
        <w:rPr>
          <w:lang w:val="en-US"/>
        </w:rPr>
      </w:pPr>
      <w:r w:rsidRPr="00227C94">
        <w:rPr>
          <w:lang w:val="en-US"/>
        </w:rPr>
        <w:lastRenderedPageBreak/>
        <w:t>2.1 The Krasnoyarsk business unit (Olimpiada, Blagodatnoye and Titimukhta deposits)</w:t>
      </w:r>
      <w:bookmarkEnd w:id="238"/>
    </w:p>
    <w:p w:rsidR="008F3095" w:rsidRPr="00227C94" w:rsidRDefault="008F3095" w:rsidP="008F3095">
      <w:pPr>
        <w:pStyle w:val="23"/>
        <w:rPr>
          <w:color w:val="auto"/>
          <w:lang w:val="en-US"/>
        </w:rPr>
      </w:pPr>
    </w:p>
    <w:p w:rsidR="00916675" w:rsidRPr="00227C94" w:rsidRDefault="00916675" w:rsidP="008F3095">
      <w:pPr>
        <w:pStyle w:val="23"/>
        <w:rPr>
          <w:color w:val="auto"/>
          <w:lang w:val="en-US"/>
        </w:rPr>
      </w:pPr>
      <w:r w:rsidRPr="00227C94">
        <w:rPr>
          <w:color w:val="auto"/>
          <w:spacing w:val="-3"/>
          <w:lang w:val="en-US"/>
        </w:rPr>
        <w:t xml:space="preserve">The Krasnoyarsk business unit is the Group’s largest mining operation. The table below shows selected </w:t>
      </w:r>
      <w:r w:rsidRPr="00227C94">
        <w:rPr>
          <w:color w:val="auto"/>
          <w:lang w:val="en-US"/>
        </w:rPr>
        <w:t xml:space="preserve">financial data for this unit for the 6 months ended 30 June 2012 and 2011 and for the year ended </w:t>
      </w:r>
      <w:r w:rsidR="008F3095" w:rsidRPr="00227C94">
        <w:rPr>
          <w:color w:val="auto"/>
          <w:lang w:val="en-US"/>
        </w:rPr>
        <w:br/>
      </w:r>
      <w:r w:rsidRPr="00227C94">
        <w:rPr>
          <w:color w:val="auto"/>
          <w:lang w:val="en-US"/>
        </w:rPr>
        <w:t>31 December 2011.</w:t>
      </w:r>
    </w:p>
    <w:p w:rsidR="008F3095" w:rsidRPr="00227C94" w:rsidRDefault="008F3095" w:rsidP="008F3095">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2928"/>
        <w:gridCol w:w="1417"/>
        <w:gridCol w:w="113"/>
        <w:gridCol w:w="1417"/>
        <w:gridCol w:w="113"/>
        <w:gridCol w:w="1417"/>
        <w:gridCol w:w="113"/>
        <w:gridCol w:w="1417"/>
      </w:tblGrid>
      <w:tr w:rsidR="0096037B" w:rsidRPr="00227C94" w:rsidTr="00A701F4">
        <w:trPr>
          <w:cantSplit/>
        </w:trPr>
        <w:tc>
          <w:tcPr>
            <w:tcW w:w="2928" w:type="dxa"/>
            <w:tcBorders>
              <w:top w:val="nil"/>
              <w:left w:val="nil"/>
              <w:bottom w:val="nil"/>
              <w:right w:val="nil"/>
            </w:tcBorders>
            <w:vAlign w:val="bottom"/>
          </w:tcPr>
          <w:p w:rsidR="0096037B" w:rsidRPr="00227C94" w:rsidRDefault="0096037B" w:rsidP="0096037B">
            <w:pPr>
              <w:pStyle w:val="tblHeaderText"/>
              <w:jc w:val="left"/>
            </w:pPr>
            <w:r w:rsidRPr="00227C94">
              <w:t>USD’000,</w:t>
            </w:r>
          </w:p>
        </w:tc>
        <w:tc>
          <w:tcPr>
            <w:tcW w:w="2947" w:type="dxa"/>
            <w:gridSpan w:val="3"/>
            <w:tcBorders>
              <w:top w:val="nil"/>
              <w:left w:val="nil"/>
              <w:bottom w:val="single" w:sz="6" w:space="0" w:color="auto"/>
              <w:right w:val="nil"/>
            </w:tcBorders>
            <w:shd w:val="clear" w:color="auto" w:fill="auto"/>
            <w:vAlign w:val="bottom"/>
          </w:tcPr>
          <w:p w:rsidR="0096037B" w:rsidRPr="00227C94" w:rsidRDefault="0096037B" w:rsidP="0096037B">
            <w:pPr>
              <w:pStyle w:val="tblHeaderText"/>
            </w:pPr>
            <w:r w:rsidRPr="00227C94">
              <w:rPr>
                <w:bCs/>
              </w:rPr>
              <w:t>Six months ended 30 June</w:t>
            </w:r>
          </w:p>
        </w:tc>
        <w:tc>
          <w:tcPr>
            <w:tcW w:w="113" w:type="dxa"/>
            <w:tcBorders>
              <w:top w:val="nil"/>
              <w:left w:val="nil"/>
              <w:bottom w:val="nil"/>
              <w:right w:val="nil"/>
            </w:tcBorders>
            <w:vAlign w:val="bottom"/>
          </w:tcPr>
          <w:p w:rsidR="0096037B" w:rsidRPr="00227C94" w:rsidRDefault="0096037B" w:rsidP="0096037B">
            <w:pPr>
              <w:pStyle w:val="tblHeaderText"/>
            </w:pPr>
          </w:p>
        </w:tc>
        <w:tc>
          <w:tcPr>
            <w:tcW w:w="1417" w:type="dxa"/>
            <w:tcBorders>
              <w:top w:val="nil"/>
              <w:left w:val="nil"/>
              <w:right w:val="nil"/>
            </w:tcBorders>
            <w:vAlign w:val="bottom"/>
          </w:tcPr>
          <w:p w:rsidR="003443ED" w:rsidRPr="00227C94" w:rsidRDefault="0096037B" w:rsidP="0096037B">
            <w:pPr>
              <w:pStyle w:val="tblHeaderText"/>
              <w:rPr>
                <w:lang w:val="en-US"/>
              </w:rPr>
            </w:pPr>
            <w:r w:rsidRPr="00227C94">
              <w:t xml:space="preserve">% </w:t>
            </w:r>
          </w:p>
          <w:p w:rsidR="0096037B" w:rsidRPr="00227C94" w:rsidRDefault="0096037B" w:rsidP="0096037B">
            <w:pPr>
              <w:pStyle w:val="tblHeaderText"/>
            </w:pPr>
            <w:r w:rsidRPr="00227C94">
              <w:t>change</w:t>
            </w:r>
          </w:p>
        </w:tc>
        <w:tc>
          <w:tcPr>
            <w:tcW w:w="113" w:type="dxa"/>
            <w:tcBorders>
              <w:top w:val="nil"/>
              <w:left w:val="nil"/>
              <w:bottom w:val="nil"/>
              <w:right w:val="nil"/>
            </w:tcBorders>
            <w:vAlign w:val="bottom"/>
          </w:tcPr>
          <w:p w:rsidR="0096037B" w:rsidRPr="00227C94" w:rsidRDefault="0096037B" w:rsidP="0096037B">
            <w:pPr>
              <w:pStyle w:val="tblHeaderText"/>
            </w:pPr>
          </w:p>
        </w:tc>
        <w:tc>
          <w:tcPr>
            <w:tcW w:w="1417" w:type="dxa"/>
            <w:tcBorders>
              <w:top w:val="nil"/>
              <w:left w:val="nil"/>
              <w:right w:val="nil"/>
            </w:tcBorders>
            <w:vAlign w:val="bottom"/>
          </w:tcPr>
          <w:p w:rsidR="0096037B" w:rsidRPr="00227C94" w:rsidRDefault="0096037B" w:rsidP="0096037B">
            <w:pPr>
              <w:pStyle w:val="tblHeaderText"/>
            </w:pPr>
            <w:r w:rsidRPr="00227C94">
              <w:t>Year ended</w:t>
            </w:r>
          </w:p>
          <w:p w:rsidR="0096037B" w:rsidRPr="00227C94" w:rsidRDefault="0096037B" w:rsidP="0096037B">
            <w:pPr>
              <w:pStyle w:val="tblHeaderText"/>
            </w:pPr>
            <w:r w:rsidRPr="00227C94">
              <w:t>31 December</w:t>
            </w:r>
          </w:p>
        </w:tc>
      </w:tr>
      <w:tr w:rsidR="0096037B" w:rsidRPr="00227C94" w:rsidTr="00A701F4">
        <w:trPr>
          <w:cantSplit/>
        </w:trPr>
        <w:tc>
          <w:tcPr>
            <w:tcW w:w="2928" w:type="dxa"/>
            <w:tcBorders>
              <w:top w:val="nil"/>
              <w:left w:val="nil"/>
              <w:bottom w:val="nil"/>
              <w:right w:val="nil"/>
            </w:tcBorders>
          </w:tcPr>
          <w:p w:rsidR="0096037B" w:rsidRPr="00227C94" w:rsidRDefault="0096037B" w:rsidP="008F3095">
            <w:pPr>
              <w:pStyle w:val="tblHeaderText"/>
              <w:jc w:val="left"/>
            </w:pPr>
            <w:r w:rsidRPr="00227C94">
              <w:t>unless otherwise indicated</w:t>
            </w:r>
          </w:p>
        </w:tc>
        <w:tc>
          <w:tcPr>
            <w:tcW w:w="1417" w:type="dxa"/>
            <w:tcBorders>
              <w:top w:val="single" w:sz="6" w:space="0" w:color="auto"/>
              <w:left w:val="nil"/>
              <w:bottom w:val="single" w:sz="6" w:space="0" w:color="auto"/>
              <w:right w:val="nil"/>
            </w:tcBorders>
            <w:shd w:val="clear" w:color="auto" w:fill="auto"/>
          </w:tcPr>
          <w:p w:rsidR="0096037B" w:rsidRPr="00227C94" w:rsidRDefault="0096037B" w:rsidP="0096037B">
            <w:pPr>
              <w:pStyle w:val="tblHeaderText"/>
            </w:pPr>
            <w:r w:rsidRPr="00227C94">
              <w:t>2012</w:t>
            </w:r>
          </w:p>
        </w:tc>
        <w:tc>
          <w:tcPr>
            <w:tcW w:w="113" w:type="dxa"/>
            <w:tcBorders>
              <w:top w:val="single" w:sz="6" w:space="0" w:color="auto"/>
              <w:left w:val="nil"/>
              <w:bottom w:val="nil"/>
              <w:right w:val="nil"/>
            </w:tcBorders>
            <w:shd w:val="clear" w:color="auto" w:fill="auto"/>
          </w:tcPr>
          <w:p w:rsidR="0096037B" w:rsidRPr="00227C94" w:rsidRDefault="0096037B" w:rsidP="0096037B">
            <w:pPr>
              <w:pStyle w:val="tblHeaderText"/>
            </w:pPr>
          </w:p>
        </w:tc>
        <w:tc>
          <w:tcPr>
            <w:tcW w:w="1417" w:type="dxa"/>
            <w:tcBorders>
              <w:top w:val="single" w:sz="6" w:space="0" w:color="auto"/>
              <w:left w:val="nil"/>
              <w:bottom w:val="single" w:sz="6" w:space="0" w:color="auto"/>
              <w:right w:val="nil"/>
            </w:tcBorders>
            <w:shd w:val="clear" w:color="auto" w:fill="auto"/>
          </w:tcPr>
          <w:p w:rsidR="0096037B" w:rsidRPr="00227C94" w:rsidRDefault="0096037B" w:rsidP="0096037B">
            <w:pPr>
              <w:pStyle w:val="tblHeaderText"/>
            </w:pPr>
            <w:r w:rsidRPr="00227C94">
              <w:t>2011</w:t>
            </w:r>
          </w:p>
        </w:tc>
        <w:tc>
          <w:tcPr>
            <w:tcW w:w="113" w:type="dxa"/>
            <w:tcBorders>
              <w:top w:val="nil"/>
              <w:left w:val="nil"/>
              <w:right w:val="nil"/>
            </w:tcBorders>
          </w:tcPr>
          <w:p w:rsidR="0096037B" w:rsidRPr="00227C94" w:rsidRDefault="0096037B" w:rsidP="0096037B">
            <w:pPr>
              <w:pStyle w:val="tblHeaderText"/>
            </w:pPr>
          </w:p>
        </w:tc>
        <w:tc>
          <w:tcPr>
            <w:tcW w:w="1417" w:type="dxa"/>
            <w:tcBorders>
              <w:top w:val="nil"/>
              <w:left w:val="nil"/>
              <w:bottom w:val="single" w:sz="6" w:space="0" w:color="auto"/>
              <w:right w:val="nil"/>
            </w:tcBorders>
            <w:shd w:val="clear" w:color="auto" w:fill="auto"/>
          </w:tcPr>
          <w:p w:rsidR="0096037B" w:rsidRPr="00227C94" w:rsidRDefault="0096037B" w:rsidP="0096037B">
            <w:pPr>
              <w:pStyle w:val="tblHeaderText"/>
            </w:pPr>
            <w:r w:rsidRPr="00227C94">
              <w:t>p-o-p</w:t>
            </w:r>
          </w:p>
        </w:tc>
        <w:tc>
          <w:tcPr>
            <w:tcW w:w="113" w:type="dxa"/>
            <w:tcBorders>
              <w:top w:val="nil"/>
              <w:left w:val="nil"/>
              <w:right w:val="nil"/>
            </w:tcBorders>
          </w:tcPr>
          <w:p w:rsidR="0096037B" w:rsidRPr="00227C94" w:rsidRDefault="0096037B" w:rsidP="0096037B">
            <w:pPr>
              <w:pStyle w:val="tblHeaderText"/>
            </w:pPr>
          </w:p>
        </w:tc>
        <w:tc>
          <w:tcPr>
            <w:tcW w:w="1417" w:type="dxa"/>
            <w:tcBorders>
              <w:top w:val="nil"/>
              <w:left w:val="nil"/>
              <w:bottom w:val="single" w:sz="6" w:space="0" w:color="auto"/>
              <w:right w:val="nil"/>
            </w:tcBorders>
            <w:shd w:val="clear" w:color="auto" w:fill="auto"/>
          </w:tcPr>
          <w:p w:rsidR="0096037B" w:rsidRPr="00227C94" w:rsidRDefault="0096037B" w:rsidP="0096037B">
            <w:pPr>
              <w:pStyle w:val="tblHeaderText"/>
            </w:pPr>
            <w:r w:rsidRPr="00227C94">
              <w:t>2011</w:t>
            </w:r>
          </w:p>
        </w:tc>
      </w:tr>
      <w:tr w:rsidR="0096037B" w:rsidRPr="00227C94" w:rsidTr="00A701F4">
        <w:trPr>
          <w:cantSplit/>
        </w:trPr>
        <w:tc>
          <w:tcPr>
            <w:tcW w:w="2928" w:type="dxa"/>
            <w:tcBorders>
              <w:top w:val="nil"/>
              <w:left w:val="nil"/>
              <w:bottom w:val="nil"/>
              <w:right w:val="nil"/>
            </w:tcBorders>
          </w:tcPr>
          <w:p w:rsidR="0096037B" w:rsidRPr="00227C94" w:rsidRDefault="0096037B" w:rsidP="008F3095">
            <w:pPr>
              <w:pStyle w:val="tblHeaderText"/>
              <w:jc w:val="left"/>
            </w:pPr>
          </w:p>
        </w:tc>
        <w:tc>
          <w:tcPr>
            <w:tcW w:w="1417" w:type="dxa"/>
            <w:tcBorders>
              <w:top w:val="single" w:sz="6" w:space="0" w:color="auto"/>
              <w:left w:val="nil"/>
              <w:bottom w:val="nil"/>
              <w:right w:val="nil"/>
            </w:tcBorders>
            <w:shd w:val="clear" w:color="auto" w:fill="auto"/>
          </w:tcPr>
          <w:p w:rsidR="0096037B" w:rsidRPr="00227C94" w:rsidRDefault="0096037B" w:rsidP="008F3095">
            <w:pPr>
              <w:pStyle w:val="tblHeaderText"/>
            </w:pPr>
          </w:p>
        </w:tc>
        <w:tc>
          <w:tcPr>
            <w:tcW w:w="113" w:type="dxa"/>
            <w:tcBorders>
              <w:top w:val="nil"/>
              <w:left w:val="nil"/>
              <w:bottom w:val="nil"/>
              <w:right w:val="nil"/>
            </w:tcBorders>
          </w:tcPr>
          <w:p w:rsidR="0096037B" w:rsidRPr="00227C94" w:rsidRDefault="0096037B" w:rsidP="008F3095">
            <w:pPr>
              <w:pStyle w:val="tblHeaderText"/>
            </w:pPr>
          </w:p>
        </w:tc>
        <w:tc>
          <w:tcPr>
            <w:tcW w:w="1417" w:type="dxa"/>
            <w:tcBorders>
              <w:top w:val="single" w:sz="6" w:space="0" w:color="auto"/>
              <w:left w:val="nil"/>
              <w:bottom w:val="nil"/>
              <w:right w:val="nil"/>
            </w:tcBorders>
            <w:shd w:val="clear" w:color="auto" w:fill="auto"/>
          </w:tcPr>
          <w:p w:rsidR="0096037B" w:rsidRPr="00227C94" w:rsidRDefault="0096037B" w:rsidP="008F3095">
            <w:pPr>
              <w:pStyle w:val="tblHeaderText"/>
            </w:pPr>
          </w:p>
        </w:tc>
        <w:tc>
          <w:tcPr>
            <w:tcW w:w="113" w:type="dxa"/>
            <w:tcBorders>
              <w:left w:val="nil"/>
              <w:bottom w:val="nil"/>
              <w:right w:val="nil"/>
            </w:tcBorders>
            <w:shd w:val="clear" w:color="auto" w:fill="auto"/>
          </w:tcPr>
          <w:p w:rsidR="0096037B" w:rsidRPr="00227C94" w:rsidRDefault="0096037B" w:rsidP="008F3095">
            <w:pPr>
              <w:pStyle w:val="tblHeaderText"/>
            </w:pPr>
          </w:p>
        </w:tc>
        <w:tc>
          <w:tcPr>
            <w:tcW w:w="1417" w:type="dxa"/>
            <w:tcBorders>
              <w:top w:val="single" w:sz="6" w:space="0" w:color="auto"/>
              <w:left w:val="nil"/>
              <w:bottom w:val="nil"/>
              <w:right w:val="nil"/>
            </w:tcBorders>
            <w:shd w:val="clear" w:color="auto" w:fill="auto"/>
          </w:tcPr>
          <w:p w:rsidR="0096037B" w:rsidRPr="00227C94" w:rsidRDefault="0096037B" w:rsidP="008F3095">
            <w:pPr>
              <w:pStyle w:val="tblHeaderText"/>
            </w:pPr>
          </w:p>
        </w:tc>
        <w:tc>
          <w:tcPr>
            <w:tcW w:w="113" w:type="dxa"/>
            <w:tcBorders>
              <w:left w:val="nil"/>
              <w:bottom w:val="nil"/>
              <w:right w:val="nil"/>
            </w:tcBorders>
            <w:shd w:val="clear" w:color="auto" w:fill="auto"/>
          </w:tcPr>
          <w:p w:rsidR="0096037B" w:rsidRPr="00227C94" w:rsidRDefault="0096037B" w:rsidP="008F3095">
            <w:pPr>
              <w:pStyle w:val="tblHeaderText"/>
            </w:pPr>
          </w:p>
        </w:tc>
        <w:tc>
          <w:tcPr>
            <w:tcW w:w="1417" w:type="dxa"/>
            <w:tcBorders>
              <w:top w:val="single" w:sz="6" w:space="0" w:color="auto"/>
              <w:left w:val="nil"/>
              <w:bottom w:val="nil"/>
              <w:right w:val="nil"/>
            </w:tcBorders>
            <w:shd w:val="clear" w:color="auto" w:fill="auto"/>
          </w:tcPr>
          <w:p w:rsidR="0096037B" w:rsidRPr="00227C94" w:rsidRDefault="0096037B" w:rsidP="008F3095">
            <w:pPr>
              <w:pStyle w:val="tblHeaderText"/>
            </w:pPr>
          </w:p>
        </w:tc>
      </w:tr>
      <w:tr w:rsidR="0096037B" w:rsidRPr="00227C94" w:rsidTr="003443ED">
        <w:trPr>
          <w:cantSplit/>
        </w:trPr>
        <w:tc>
          <w:tcPr>
            <w:tcW w:w="2928" w:type="dxa"/>
            <w:tcBorders>
              <w:top w:val="nil"/>
              <w:left w:val="nil"/>
              <w:bottom w:val="nil"/>
              <w:right w:val="nil"/>
            </w:tcBorders>
            <w:vAlign w:val="center"/>
          </w:tcPr>
          <w:p w:rsidR="0096037B" w:rsidRPr="00227C94" w:rsidRDefault="0096037B" w:rsidP="0096037B">
            <w:pPr>
              <w:pStyle w:val="tblText05"/>
              <w:ind w:left="113"/>
            </w:pPr>
            <w:r w:rsidRPr="00227C94">
              <w:t xml:space="preserve">Olimpiada production </w:t>
            </w:r>
            <w:r w:rsidRPr="00227C94">
              <w:rPr>
                <w:lang w:val="en-US"/>
              </w:rPr>
              <w:br/>
            </w:r>
            <w:r w:rsidRPr="00227C94">
              <w:t>(thousand ounces)</w:t>
            </w:r>
          </w:p>
        </w:tc>
        <w:tc>
          <w:tcPr>
            <w:tcW w:w="1417" w:type="dxa"/>
            <w:tcBorders>
              <w:top w:val="nil"/>
              <w:left w:val="nil"/>
              <w:bottom w:val="nil"/>
              <w:right w:val="nil"/>
            </w:tcBorders>
            <w:vAlign w:val="bottom"/>
          </w:tcPr>
          <w:p w:rsidR="0096037B" w:rsidRPr="00227C94" w:rsidRDefault="0096037B" w:rsidP="003443ED">
            <w:pPr>
              <w:pStyle w:val="tblNumber01"/>
            </w:pPr>
            <w:r w:rsidRPr="00227C94">
              <w:t>318</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248</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28</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566</w:t>
            </w:r>
          </w:p>
        </w:tc>
      </w:tr>
      <w:tr w:rsidR="0096037B" w:rsidRPr="00227C94" w:rsidTr="003443ED">
        <w:trPr>
          <w:cantSplit/>
        </w:trPr>
        <w:tc>
          <w:tcPr>
            <w:tcW w:w="2928" w:type="dxa"/>
            <w:tcBorders>
              <w:top w:val="nil"/>
              <w:left w:val="nil"/>
              <w:bottom w:val="nil"/>
              <w:right w:val="nil"/>
            </w:tcBorders>
            <w:vAlign w:val="center"/>
          </w:tcPr>
          <w:p w:rsidR="0096037B" w:rsidRPr="00227C94" w:rsidRDefault="0096037B" w:rsidP="0096037B">
            <w:pPr>
              <w:pStyle w:val="tblText05"/>
              <w:ind w:left="113"/>
            </w:pPr>
            <w:r w:rsidRPr="00227C94">
              <w:t xml:space="preserve">Titimukhta production </w:t>
            </w:r>
            <w:r w:rsidRPr="00227C94">
              <w:rPr>
                <w:lang w:val="en-US"/>
              </w:rPr>
              <w:br/>
            </w:r>
            <w:r w:rsidRPr="00227C94">
              <w:t>(thousand ounces)</w:t>
            </w:r>
          </w:p>
        </w:tc>
        <w:tc>
          <w:tcPr>
            <w:tcW w:w="1417" w:type="dxa"/>
            <w:tcBorders>
              <w:top w:val="nil"/>
              <w:left w:val="nil"/>
              <w:bottom w:val="nil"/>
              <w:right w:val="nil"/>
            </w:tcBorders>
            <w:vAlign w:val="bottom"/>
          </w:tcPr>
          <w:p w:rsidR="0096037B" w:rsidRPr="00227C94" w:rsidRDefault="0096037B" w:rsidP="003443ED">
            <w:pPr>
              <w:pStyle w:val="tblNumber01"/>
            </w:pPr>
            <w:r w:rsidRPr="00227C94">
              <w:t>46</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44</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4</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109</w:t>
            </w:r>
          </w:p>
        </w:tc>
      </w:tr>
      <w:tr w:rsidR="0096037B" w:rsidRPr="00227C94" w:rsidTr="003443ED">
        <w:trPr>
          <w:cantSplit/>
        </w:trPr>
        <w:tc>
          <w:tcPr>
            <w:tcW w:w="2928" w:type="dxa"/>
            <w:tcBorders>
              <w:top w:val="nil"/>
              <w:left w:val="nil"/>
              <w:bottom w:val="nil"/>
              <w:right w:val="nil"/>
            </w:tcBorders>
            <w:vAlign w:val="center"/>
          </w:tcPr>
          <w:p w:rsidR="0096037B" w:rsidRPr="00227C94" w:rsidRDefault="0096037B" w:rsidP="0096037B">
            <w:pPr>
              <w:pStyle w:val="tblText05"/>
              <w:ind w:left="113"/>
            </w:pPr>
            <w:r w:rsidRPr="00227C94">
              <w:t xml:space="preserve">Blagodatnoye production </w:t>
            </w:r>
            <w:r w:rsidRPr="00227C94">
              <w:rPr>
                <w:lang w:val="en-US"/>
              </w:rPr>
              <w:br/>
            </w:r>
            <w:r w:rsidRPr="00227C94">
              <w:t>(thousand ounces)</w:t>
            </w:r>
          </w:p>
        </w:tc>
        <w:tc>
          <w:tcPr>
            <w:tcW w:w="1417" w:type="dxa"/>
            <w:tcBorders>
              <w:top w:val="nil"/>
              <w:left w:val="nil"/>
              <w:bottom w:val="nil"/>
              <w:right w:val="nil"/>
            </w:tcBorders>
            <w:vAlign w:val="bottom"/>
          </w:tcPr>
          <w:p w:rsidR="0096037B" w:rsidRPr="00227C94" w:rsidRDefault="0096037B" w:rsidP="003443ED">
            <w:pPr>
              <w:pStyle w:val="tblNumber01"/>
            </w:pPr>
            <w:r w:rsidRPr="00227C94">
              <w:t>174</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152</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14</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363</w:t>
            </w:r>
          </w:p>
        </w:tc>
      </w:tr>
      <w:tr w:rsidR="0096037B" w:rsidRPr="00227C94" w:rsidTr="003443ED">
        <w:trPr>
          <w:cantSplit/>
        </w:trPr>
        <w:tc>
          <w:tcPr>
            <w:tcW w:w="2928" w:type="dxa"/>
            <w:tcBorders>
              <w:top w:val="nil"/>
              <w:left w:val="nil"/>
              <w:bottom w:val="nil"/>
              <w:right w:val="nil"/>
            </w:tcBorders>
            <w:vAlign w:val="bottom"/>
          </w:tcPr>
          <w:p w:rsidR="0096037B" w:rsidRPr="00227C94" w:rsidRDefault="0096037B" w:rsidP="008F3095">
            <w:pPr>
              <w:pStyle w:val="tblText02"/>
              <w:rPr>
                <w:lang w:val="en-US"/>
              </w:rPr>
            </w:pPr>
            <w:r w:rsidRPr="00227C94">
              <w:rPr>
                <w:lang w:val="en-US"/>
              </w:rPr>
              <w:t xml:space="preserve">Total gold production </w:t>
            </w:r>
            <w:r w:rsidRPr="00227C94">
              <w:rPr>
                <w:lang w:val="en-US"/>
              </w:rPr>
              <w:br/>
              <w:t>(thousand ounces)</w:t>
            </w:r>
          </w:p>
        </w:tc>
        <w:tc>
          <w:tcPr>
            <w:tcW w:w="1417" w:type="dxa"/>
            <w:tcBorders>
              <w:top w:val="nil"/>
              <w:left w:val="nil"/>
              <w:bottom w:val="nil"/>
              <w:right w:val="nil"/>
            </w:tcBorders>
            <w:vAlign w:val="bottom"/>
          </w:tcPr>
          <w:p w:rsidR="0096037B" w:rsidRPr="00227C94" w:rsidRDefault="0096037B" w:rsidP="003443ED">
            <w:pPr>
              <w:pStyle w:val="tblNumber01"/>
            </w:pPr>
            <w:r w:rsidRPr="00227C94">
              <w:t>538</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445</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21</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1,038</w:t>
            </w:r>
          </w:p>
        </w:tc>
      </w:tr>
      <w:tr w:rsidR="0096037B" w:rsidRPr="00227C94" w:rsidTr="003443ED">
        <w:trPr>
          <w:cantSplit/>
        </w:trPr>
        <w:tc>
          <w:tcPr>
            <w:tcW w:w="2928" w:type="dxa"/>
            <w:tcBorders>
              <w:top w:val="nil"/>
              <w:left w:val="nil"/>
              <w:bottom w:val="nil"/>
              <w:right w:val="nil"/>
            </w:tcBorders>
            <w:vAlign w:val="bottom"/>
          </w:tcPr>
          <w:p w:rsidR="0096037B" w:rsidRPr="00227C94" w:rsidRDefault="0096037B" w:rsidP="008F3095">
            <w:pPr>
              <w:pStyle w:val="tblText02"/>
              <w:rPr>
                <w:vertAlign w:val="superscript"/>
              </w:rPr>
            </w:pPr>
            <w:r w:rsidRPr="00227C94">
              <w:t>Gold sales</w:t>
            </w:r>
          </w:p>
        </w:tc>
        <w:tc>
          <w:tcPr>
            <w:tcW w:w="1417" w:type="dxa"/>
            <w:tcBorders>
              <w:top w:val="nil"/>
              <w:left w:val="nil"/>
              <w:bottom w:val="nil"/>
              <w:right w:val="nil"/>
            </w:tcBorders>
            <w:vAlign w:val="bottom"/>
          </w:tcPr>
          <w:p w:rsidR="0096037B" w:rsidRPr="00227C94" w:rsidRDefault="0096037B" w:rsidP="003443ED">
            <w:pPr>
              <w:pStyle w:val="tblNumber01"/>
            </w:pPr>
            <w:r w:rsidRPr="00227C94">
              <w:t>916,086</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669,570</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37</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1,641,380</w:t>
            </w:r>
          </w:p>
        </w:tc>
      </w:tr>
      <w:tr w:rsidR="0096037B" w:rsidRPr="00227C94" w:rsidTr="003443ED">
        <w:trPr>
          <w:cantSplit/>
        </w:trPr>
        <w:tc>
          <w:tcPr>
            <w:tcW w:w="2928" w:type="dxa"/>
            <w:tcBorders>
              <w:top w:val="nil"/>
              <w:left w:val="nil"/>
              <w:bottom w:val="nil"/>
              <w:right w:val="nil"/>
            </w:tcBorders>
            <w:vAlign w:val="bottom"/>
          </w:tcPr>
          <w:p w:rsidR="0096037B" w:rsidRPr="00227C94" w:rsidRDefault="0096037B" w:rsidP="008F3095">
            <w:pPr>
              <w:pStyle w:val="tblText02"/>
            </w:pPr>
            <w:r w:rsidRPr="00227C94">
              <w:t>Gold sales (thousand ounces)</w:t>
            </w:r>
          </w:p>
        </w:tc>
        <w:tc>
          <w:tcPr>
            <w:tcW w:w="1417" w:type="dxa"/>
            <w:tcBorders>
              <w:top w:val="nil"/>
              <w:left w:val="nil"/>
              <w:bottom w:val="nil"/>
              <w:right w:val="nil"/>
            </w:tcBorders>
            <w:vAlign w:val="bottom"/>
          </w:tcPr>
          <w:p w:rsidR="0096037B" w:rsidRPr="00227C94" w:rsidRDefault="0096037B" w:rsidP="003443ED">
            <w:pPr>
              <w:pStyle w:val="tblNumber01"/>
            </w:pPr>
            <w:r w:rsidRPr="00227C94">
              <w:t>554</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464</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20</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1,040</w:t>
            </w:r>
          </w:p>
        </w:tc>
      </w:tr>
      <w:tr w:rsidR="0096037B" w:rsidRPr="00227C94" w:rsidTr="003443ED">
        <w:trPr>
          <w:cantSplit/>
        </w:trPr>
        <w:tc>
          <w:tcPr>
            <w:tcW w:w="2928" w:type="dxa"/>
            <w:tcBorders>
              <w:top w:val="nil"/>
              <w:left w:val="nil"/>
              <w:bottom w:val="nil"/>
              <w:right w:val="nil"/>
            </w:tcBorders>
            <w:vAlign w:val="bottom"/>
          </w:tcPr>
          <w:p w:rsidR="0096037B" w:rsidRPr="00227C94" w:rsidRDefault="0096037B" w:rsidP="008F3095">
            <w:pPr>
              <w:pStyle w:val="tblText02"/>
            </w:pPr>
            <w:r w:rsidRPr="00227C94">
              <w:t>Segment profit</w:t>
            </w:r>
          </w:p>
        </w:tc>
        <w:tc>
          <w:tcPr>
            <w:tcW w:w="1417" w:type="dxa"/>
            <w:tcBorders>
              <w:top w:val="nil"/>
              <w:left w:val="nil"/>
              <w:bottom w:val="nil"/>
              <w:right w:val="nil"/>
            </w:tcBorders>
            <w:vAlign w:val="bottom"/>
          </w:tcPr>
          <w:p w:rsidR="0096037B" w:rsidRPr="00227C94" w:rsidRDefault="0096037B" w:rsidP="003443ED">
            <w:pPr>
              <w:pStyle w:val="tblNumber01"/>
            </w:pPr>
            <w:r w:rsidRPr="00227C94">
              <w:t>465,059</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342,265</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36</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918,078</w:t>
            </w:r>
          </w:p>
        </w:tc>
      </w:tr>
      <w:tr w:rsidR="0096037B" w:rsidRPr="00227C94" w:rsidTr="003443ED">
        <w:trPr>
          <w:cantSplit/>
        </w:trPr>
        <w:tc>
          <w:tcPr>
            <w:tcW w:w="2928" w:type="dxa"/>
            <w:tcBorders>
              <w:top w:val="nil"/>
              <w:left w:val="nil"/>
              <w:bottom w:val="nil"/>
              <w:right w:val="nil"/>
            </w:tcBorders>
            <w:vAlign w:val="bottom"/>
          </w:tcPr>
          <w:p w:rsidR="0096037B" w:rsidRPr="00227C94" w:rsidRDefault="0096037B" w:rsidP="008F3095">
            <w:pPr>
              <w:pStyle w:val="tblText02"/>
            </w:pPr>
            <w:r w:rsidRPr="00227C94">
              <w:t>Segment profit margin (%)</w:t>
            </w:r>
          </w:p>
        </w:tc>
        <w:tc>
          <w:tcPr>
            <w:tcW w:w="1417" w:type="dxa"/>
            <w:tcBorders>
              <w:top w:val="nil"/>
              <w:left w:val="nil"/>
              <w:bottom w:val="nil"/>
              <w:right w:val="nil"/>
            </w:tcBorders>
            <w:vAlign w:val="bottom"/>
          </w:tcPr>
          <w:p w:rsidR="0096037B" w:rsidRPr="00227C94" w:rsidRDefault="0096037B" w:rsidP="003443ED">
            <w:pPr>
              <w:pStyle w:val="tblNumber01"/>
            </w:pPr>
            <w:r w:rsidRPr="00227C94">
              <w:t>51%</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51%</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0"/>
            </w:pPr>
            <w:r w:rsidRPr="00227C94">
              <w:t>(1)</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56%</w:t>
            </w:r>
          </w:p>
        </w:tc>
      </w:tr>
      <w:tr w:rsidR="0096037B" w:rsidRPr="00227C94" w:rsidTr="003443ED">
        <w:trPr>
          <w:cantSplit/>
        </w:trPr>
        <w:tc>
          <w:tcPr>
            <w:tcW w:w="2928" w:type="dxa"/>
            <w:tcBorders>
              <w:top w:val="nil"/>
              <w:left w:val="nil"/>
              <w:bottom w:val="nil"/>
              <w:right w:val="nil"/>
            </w:tcBorders>
            <w:vAlign w:val="bottom"/>
          </w:tcPr>
          <w:p w:rsidR="0096037B" w:rsidRPr="00227C94" w:rsidRDefault="0096037B" w:rsidP="008F3095">
            <w:pPr>
              <w:pStyle w:val="tblText02"/>
              <w:rPr>
                <w:lang w:val="en-US"/>
              </w:rPr>
            </w:pPr>
            <w:r w:rsidRPr="00227C94">
              <w:rPr>
                <w:lang w:val="en-US"/>
              </w:rPr>
              <w:t>TCC per ounce sold (USD/ounce)</w:t>
            </w:r>
          </w:p>
        </w:tc>
        <w:tc>
          <w:tcPr>
            <w:tcW w:w="1417" w:type="dxa"/>
            <w:tcBorders>
              <w:top w:val="nil"/>
              <w:left w:val="nil"/>
              <w:bottom w:val="nil"/>
              <w:right w:val="nil"/>
            </w:tcBorders>
            <w:vAlign w:val="bottom"/>
          </w:tcPr>
          <w:p w:rsidR="0096037B" w:rsidRPr="00227C94" w:rsidRDefault="0096037B" w:rsidP="003443ED">
            <w:pPr>
              <w:pStyle w:val="tblNumber01"/>
            </w:pPr>
            <w:r w:rsidRPr="00227C94">
              <w:t>614</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577</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6</w:t>
            </w:r>
          </w:p>
        </w:tc>
        <w:tc>
          <w:tcPr>
            <w:tcW w:w="113" w:type="dxa"/>
            <w:tcBorders>
              <w:top w:val="nil"/>
              <w:left w:val="nil"/>
              <w:bottom w:val="nil"/>
              <w:right w:val="nil"/>
            </w:tcBorders>
            <w:vAlign w:val="bottom"/>
          </w:tcPr>
          <w:p w:rsidR="0096037B" w:rsidRPr="00227C94" w:rsidRDefault="0096037B" w:rsidP="003443ED">
            <w:pPr>
              <w:pStyle w:val="tblNumber01"/>
            </w:pPr>
          </w:p>
        </w:tc>
        <w:tc>
          <w:tcPr>
            <w:tcW w:w="1417" w:type="dxa"/>
            <w:tcBorders>
              <w:top w:val="nil"/>
              <w:left w:val="nil"/>
              <w:bottom w:val="nil"/>
              <w:right w:val="nil"/>
            </w:tcBorders>
            <w:vAlign w:val="bottom"/>
          </w:tcPr>
          <w:p w:rsidR="0096037B" w:rsidRPr="00227C94" w:rsidRDefault="0096037B" w:rsidP="003443ED">
            <w:pPr>
              <w:pStyle w:val="tblNumber01"/>
            </w:pPr>
            <w:r w:rsidRPr="00227C94">
              <w:t>606</w:t>
            </w:r>
          </w:p>
        </w:tc>
      </w:tr>
    </w:tbl>
    <w:p w:rsidR="00916675" w:rsidRPr="00227C94" w:rsidRDefault="00916675" w:rsidP="0096037B">
      <w:pPr>
        <w:pStyle w:val="23"/>
        <w:rPr>
          <w:color w:val="auto"/>
          <w:sz w:val="18"/>
          <w:szCs w:val="18"/>
        </w:rPr>
      </w:pPr>
      <w:r w:rsidRPr="00227C94">
        <w:rPr>
          <w:color w:val="auto"/>
          <w:sz w:val="18"/>
          <w:szCs w:val="18"/>
        </w:rPr>
        <w:t>_______</w:t>
      </w:r>
      <w:r w:rsidR="0096037B" w:rsidRPr="00227C94">
        <w:rPr>
          <w:color w:val="auto"/>
          <w:sz w:val="18"/>
          <w:szCs w:val="18"/>
          <w:lang w:val="en-US"/>
        </w:rPr>
        <w:t>____________</w:t>
      </w:r>
      <w:r w:rsidRPr="00227C94">
        <w:rPr>
          <w:color w:val="auto"/>
          <w:sz w:val="18"/>
          <w:szCs w:val="18"/>
        </w:rPr>
        <w:t>_________</w:t>
      </w:r>
    </w:p>
    <w:p w:rsidR="00916675" w:rsidRPr="00227C94" w:rsidRDefault="00916675" w:rsidP="0096037B">
      <w:pPr>
        <w:pStyle w:val="23"/>
        <w:rPr>
          <w:color w:val="auto"/>
          <w:sz w:val="18"/>
          <w:szCs w:val="18"/>
        </w:rPr>
      </w:pPr>
      <w:r w:rsidRPr="00227C94">
        <w:rPr>
          <w:color w:val="auto"/>
          <w:sz w:val="18"/>
          <w:szCs w:val="18"/>
        </w:rPr>
        <w:t>Source: Management accounting data.</w:t>
      </w:r>
    </w:p>
    <w:p w:rsidR="0096037B" w:rsidRPr="00227C94" w:rsidRDefault="0096037B" w:rsidP="0096037B">
      <w:pPr>
        <w:pStyle w:val="23"/>
        <w:rPr>
          <w:color w:val="auto"/>
          <w:lang w:val="en-US"/>
        </w:rPr>
      </w:pPr>
    </w:p>
    <w:p w:rsidR="00916675" w:rsidRPr="00227C94" w:rsidRDefault="00916675" w:rsidP="0096037B">
      <w:pPr>
        <w:pStyle w:val="23"/>
        <w:rPr>
          <w:color w:val="auto"/>
          <w:lang w:val="en-US"/>
        </w:rPr>
      </w:pPr>
      <w:r w:rsidRPr="00227C94">
        <w:rPr>
          <w:color w:val="auto"/>
          <w:lang w:val="en-US"/>
        </w:rPr>
        <w:t>In H1 2012, the Krasnoyarsk business unit produced 538 thousand ounces of refined gold, compared to 445 thousand ounces in H1 2011.</w:t>
      </w:r>
    </w:p>
    <w:p w:rsidR="0096037B" w:rsidRPr="00227C94" w:rsidRDefault="0096037B" w:rsidP="0096037B">
      <w:pPr>
        <w:pStyle w:val="23"/>
        <w:rPr>
          <w:color w:val="auto"/>
          <w:lang w:val="en-US"/>
        </w:rPr>
      </w:pPr>
    </w:p>
    <w:p w:rsidR="00916675" w:rsidRPr="00227C94" w:rsidRDefault="00916675" w:rsidP="0096037B">
      <w:pPr>
        <w:pStyle w:val="23"/>
        <w:rPr>
          <w:color w:val="auto"/>
          <w:lang w:val="en-US"/>
        </w:rPr>
      </w:pPr>
      <w:r w:rsidRPr="00227C94">
        <w:rPr>
          <w:color w:val="auto"/>
          <w:lang w:val="en-US"/>
        </w:rPr>
        <w:t xml:space="preserve">Mills No.2 and 3 of the Olimpiada mine produced 318 thousand ounces of refined gold in the first six </w:t>
      </w:r>
      <w:r w:rsidRPr="00227C94">
        <w:rPr>
          <w:color w:val="auto"/>
          <w:spacing w:val="-2"/>
          <w:lang w:val="en-US"/>
        </w:rPr>
        <w:t xml:space="preserve">months of 2012, compared to 248 thousand ounces in the same period of 2011. Gold output increased </w:t>
      </w:r>
      <w:r w:rsidRPr="00227C94">
        <w:rPr>
          <w:color w:val="auto"/>
          <w:spacing w:val="-4"/>
          <w:lang w:val="en-US"/>
        </w:rPr>
        <w:t xml:space="preserve">primarily due to the growth in recovery rate from 71.1% in H1 2011 to 75.6% in H1 2012 following </w:t>
      </w:r>
      <w:r w:rsidRPr="00227C94">
        <w:rPr>
          <w:color w:val="auto"/>
          <w:lang w:val="en-US"/>
        </w:rPr>
        <w:t>implementation of a series of measures aimed at increasing density of flotation concentrate and optimi</w:t>
      </w:r>
      <w:r w:rsidR="005A0B85" w:rsidRPr="00227C94">
        <w:rPr>
          <w:color w:val="auto"/>
          <w:lang w:val="en-US"/>
        </w:rPr>
        <w:t>s</w:t>
      </w:r>
      <w:r w:rsidRPr="00227C94">
        <w:rPr>
          <w:color w:val="auto"/>
          <w:lang w:val="en-US"/>
        </w:rPr>
        <w:t>ation of the leaching process. Also the stabili</w:t>
      </w:r>
      <w:r w:rsidR="005A0B85" w:rsidRPr="00227C94">
        <w:rPr>
          <w:color w:val="auto"/>
          <w:lang w:val="en-US"/>
        </w:rPr>
        <w:t>s</w:t>
      </w:r>
      <w:r w:rsidRPr="00227C94">
        <w:rPr>
          <w:color w:val="auto"/>
          <w:lang w:val="en-US"/>
        </w:rPr>
        <w:t>ation in average grade (3.5 g/t in H1 2012 vs. 3.4 g/t in H1 2011) improved production results.</w:t>
      </w:r>
    </w:p>
    <w:p w:rsidR="0096037B" w:rsidRPr="00227C94" w:rsidRDefault="0096037B" w:rsidP="0096037B">
      <w:pPr>
        <w:pStyle w:val="23"/>
        <w:rPr>
          <w:color w:val="auto"/>
          <w:lang w:val="en-US"/>
        </w:rPr>
      </w:pPr>
    </w:p>
    <w:p w:rsidR="00916675" w:rsidRPr="00227C94" w:rsidRDefault="00916675" w:rsidP="0096037B">
      <w:pPr>
        <w:pStyle w:val="23"/>
        <w:rPr>
          <w:color w:val="auto"/>
          <w:lang w:val="en-US"/>
        </w:rPr>
      </w:pPr>
      <w:bookmarkStart w:id="239" w:name="_DV_M67"/>
      <w:bookmarkStart w:id="240" w:name="_DV_M68"/>
      <w:bookmarkStart w:id="241" w:name="_DV_M69"/>
      <w:bookmarkStart w:id="242" w:name="_DV_M70"/>
      <w:bookmarkEnd w:id="239"/>
      <w:bookmarkEnd w:id="240"/>
      <w:bookmarkEnd w:id="241"/>
      <w:bookmarkEnd w:id="242"/>
      <w:r w:rsidRPr="00227C94">
        <w:rPr>
          <w:color w:val="auto"/>
          <w:lang w:val="en-US"/>
        </w:rPr>
        <w:t>The Titimukhta project (Mill No.1 of the Olimpiada mine) produced 46 thousand ounces of refined gold in H1 2012, compared to 44 thousand ounces in the same period of 2011. The 4% increase mainly relates to improved grades.</w:t>
      </w:r>
    </w:p>
    <w:p w:rsidR="0096037B" w:rsidRPr="00227C94" w:rsidRDefault="0096037B" w:rsidP="0096037B">
      <w:pPr>
        <w:pStyle w:val="23"/>
        <w:rPr>
          <w:color w:val="auto"/>
          <w:lang w:val="en-US"/>
        </w:rPr>
      </w:pPr>
    </w:p>
    <w:p w:rsidR="00916675" w:rsidRPr="00227C94" w:rsidRDefault="00916675" w:rsidP="0096037B">
      <w:pPr>
        <w:pStyle w:val="23"/>
        <w:rPr>
          <w:bCs/>
          <w:color w:val="auto"/>
          <w:lang w:val="en-US"/>
        </w:rPr>
      </w:pPr>
      <w:r w:rsidRPr="00227C94">
        <w:rPr>
          <w:color w:val="auto"/>
          <w:lang w:val="en-US"/>
        </w:rPr>
        <w:t xml:space="preserve">The Blagodatnoye mine produced 174 thousand ounces of gold, compared to 152 thousand ounces in H1 2011. </w:t>
      </w:r>
      <w:r w:rsidRPr="00227C94">
        <w:rPr>
          <w:bCs/>
          <w:color w:val="auto"/>
          <w:lang w:val="en-US"/>
        </w:rPr>
        <w:t>The 14% increase in production was primarily a result of the achieved maintenance of recovery rates at levels exceeding design parameters.</w:t>
      </w:r>
    </w:p>
    <w:p w:rsidR="0096037B" w:rsidRPr="00227C94" w:rsidRDefault="0096037B" w:rsidP="0096037B">
      <w:pPr>
        <w:pStyle w:val="23"/>
        <w:rPr>
          <w:color w:val="auto"/>
          <w:lang w:val="en-US"/>
        </w:rPr>
      </w:pPr>
    </w:p>
    <w:p w:rsidR="00916675" w:rsidRPr="00227C94" w:rsidRDefault="00916675" w:rsidP="0096037B">
      <w:pPr>
        <w:pStyle w:val="23"/>
        <w:rPr>
          <w:color w:val="auto"/>
          <w:lang w:val="en-US"/>
        </w:rPr>
      </w:pPr>
      <w:r w:rsidRPr="00227C94">
        <w:rPr>
          <w:color w:val="auto"/>
          <w:lang w:val="en-US"/>
        </w:rPr>
        <w:t>Gold sales of the Krasnoyarsk business unit in H1 2012 were USD916</w:t>
      </w:r>
      <w:proofErr w:type="gramStart"/>
      <w:r w:rsidRPr="00227C94">
        <w:rPr>
          <w:color w:val="auto"/>
          <w:lang w:val="en-US"/>
        </w:rPr>
        <w:t>,086</w:t>
      </w:r>
      <w:proofErr w:type="gramEnd"/>
      <w:r w:rsidRPr="00227C94">
        <w:rPr>
          <w:color w:val="auto"/>
          <w:lang w:val="en-US"/>
        </w:rPr>
        <w:t xml:space="preserve"> thousand, compared </w:t>
      </w:r>
      <w:r w:rsidRPr="00227C94">
        <w:rPr>
          <w:color w:val="auto"/>
          <w:spacing w:val="-2"/>
          <w:lang w:val="en-US"/>
        </w:rPr>
        <w:t xml:space="preserve">to USD669,570 thousand in H1 2011. The 37% increase in gold sales resulted from a combination </w:t>
      </w:r>
      <w:r w:rsidRPr="00227C94">
        <w:rPr>
          <w:color w:val="auto"/>
          <w:lang w:val="en-US"/>
        </w:rPr>
        <w:t xml:space="preserve">of higher realised gold prices and increased sales volumes. During the first six months of </w:t>
      </w:r>
      <w:proofErr w:type="gramStart"/>
      <w:r w:rsidRPr="00227C94">
        <w:rPr>
          <w:color w:val="auto"/>
          <w:lang w:val="en-US"/>
        </w:rPr>
        <w:t>2012</w:t>
      </w:r>
      <w:r w:rsidR="003443ED" w:rsidRPr="00227C94">
        <w:rPr>
          <w:color w:val="auto"/>
          <w:lang w:val="en-US"/>
        </w:rPr>
        <w:t xml:space="preserve"> </w:t>
      </w:r>
      <w:r w:rsidR="0096037B" w:rsidRPr="00227C94">
        <w:rPr>
          <w:color w:val="auto"/>
          <w:lang w:val="en-US"/>
        </w:rPr>
        <w:t xml:space="preserve"> </w:t>
      </w:r>
      <w:proofErr w:type="gramEnd"/>
      <w:r w:rsidR="0096037B" w:rsidRPr="00227C94">
        <w:rPr>
          <w:color w:val="auto"/>
          <w:lang w:val="en-US"/>
        </w:rPr>
        <w:br/>
      </w:r>
      <w:r w:rsidRPr="00227C94">
        <w:rPr>
          <w:color w:val="auto"/>
          <w:lang w:val="en-US"/>
        </w:rPr>
        <w:t>554 thousand ounces of refined gold were sold. The comparative sales volume for the H1 2011 was 464 thousand ounces.</w:t>
      </w:r>
    </w:p>
    <w:p w:rsidR="0096037B" w:rsidRPr="00227C94" w:rsidRDefault="0096037B" w:rsidP="0096037B">
      <w:pPr>
        <w:pStyle w:val="23"/>
        <w:rPr>
          <w:color w:val="auto"/>
          <w:lang w:val="en-US"/>
        </w:rPr>
      </w:pPr>
    </w:p>
    <w:p w:rsidR="00916675" w:rsidRPr="00227C94" w:rsidRDefault="00916675" w:rsidP="0096037B">
      <w:pPr>
        <w:pStyle w:val="23"/>
        <w:rPr>
          <w:color w:val="auto"/>
          <w:lang w:val="en-US"/>
        </w:rPr>
      </w:pPr>
      <w:r w:rsidRPr="00227C94">
        <w:rPr>
          <w:color w:val="auto"/>
          <w:lang w:val="en-US"/>
        </w:rPr>
        <w:t xml:space="preserve">The total cash costs per ounce of gold sold for the Krasnoyarsk business unit amounted to USD614 </w:t>
      </w:r>
      <w:r w:rsidRPr="00227C94">
        <w:rPr>
          <w:color w:val="auto"/>
          <w:spacing w:val="-2"/>
          <w:lang w:val="en-US"/>
        </w:rPr>
        <w:t xml:space="preserve">in H1 2012, compared to USD577 in H1 2011. In addition to the factors impacting on cash costs throughout the Group in H1 2012 as well as detailed analysis by business units (see paragraph 1.3 “Cost of Gold Sales – Cash operating costs”), the increase in TCC per ounce sold at the Krasnoyarsk </w:t>
      </w:r>
      <w:r w:rsidRPr="00227C94">
        <w:rPr>
          <w:color w:val="auto"/>
          <w:lang w:val="en-US"/>
        </w:rPr>
        <w:t xml:space="preserve">business unit was also attributable to the increase of cost of ore mining at the Blagodatnoye and Titimukhta mines, including expenditures on transportation. Labour costs also increased due to an </w:t>
      </w:r>
      <w:r w:rsidRPr="00227C94">
        <w:rPr>
          <w:color w:val="auto"/>
          <w:spacing w:val="-2"/>
          <w:lang w:val="en-US"/>
        </w:rPr>
        <w:t xml:space="preserve">approximately 13% salary indexation starting from the beginning of 2012 (the highest indexation level in the Group). Consumption of explosives also increased due to overall growth in drilling and blasting operations aimed to deepening and forming of open pits, as well as due to instability in physical </w:t>
      </w:r>
      <w:r w:rsidRPr="00227C94">
        <w:rPr>
          <w:color w:val="auto"/>
          <w:lang w:val="en-US"/>
        </w:rPr>
        <w:t>characteristics of the ore body at Olimpiada. Transportation expenses also increased. Material expenses have been the largest component of cost of gold sales at the Krasnoyarsk business unit.</w:t>
      </w:r>
    </w:p>
    <w:p w:rsidR="0096037B" w:rsidRPr="00227C94" w:rsidRDefault="0096037B" w:rsidP="0096037B">
      <w:pPr>
        <w:pStyle w:val="23"/>
        <w:rPr>
          <w:color w:val="auto"/>
          <w:lang w:val="en-US"/>
        </w:rPr>
      </w:pPr>
    </w:p>
    <w:p w:rsidR="00916675" w:rsidRPr="00227C94" w:rsidRDefault="0096037B" w:rsidP="0096037B">
      <w:pPr>
        <w:pStyle w:val="22"/>
        <w:rPr>
          <w:lang w:val="en-US"/>
        </w:rPr>
      </w:pPr>
      <w:bookmarkStart w:id="243" w:name="_Toc313004204"/>
      <w:bookmarkStart w:id="244" w:name="_Toc320887006"/>
      <w:r w:rsidRPr="00227C94">
        <w:rPr>
          <w:lang w:val="en-US"/>
        </w:rPr>
        <w:br w:type="page"/>
      </w:r>
      <w:r w:rsidR="00916675" w:rsidRPr="00227C94">
        <w:rPr>
          <w:lang w:val="en-US"/>
        </w:rPr>
        <w:lastRenderedPageBreak/>
        <w:t>2.2 The Irkutsk alluvial business unit (Alluvial deposits)</w:t>
      </w:r>
      <w:bookmarkEnd w:id="243"/>
      <w:bookmarkEnd w:id="244"/>
    </w:p>
    <w:p w:rsidR="0096037B" w:rsidRPr="00227C94" w:rsidRDefault="0096037B" w:rsidP="0096037B">
      <w:pPr>
        <w:pStyle w:val="23"/>
        <w:rPr>
          <w:color w:val="auto"/>
          <w:lang w:val="en-US"/>
        </w:rPr>
      </w:pPr>
    </w:p>
    <w:p w:rsidR="00916675" w:rsidRPr="00227C94" w:rsidRDefault="00916675" w:rsidP="0096037B">
      <w:pPr>
        <w:pStyle w:val="23"/>
        <w:rPr>
          <w:color w:val="auto"/>
          <w:spacing w:val="-2"/>
          <w:lang w:val="en-US"/>
        </w:rPr>
      </w:pPr>
      <w:r w:rsidRPr="00227C94">
        <w:rPr>
          <w:color w:val="auto"/>
          <w:spacing w:val="-2"/>
          <w:lang w:val="en-US"/>
        </w:rPr>
        <w:t>The Irkutsk business unit operates alluvial deposits. The table below shows selected financial data for this unit for the 6 months ended 30 June 2012 and 2011, and for the year ended 31 December 2011.</w:t>
      </w:r>
    </w:p>
    <w:p w:rsidR="0096037B" w:rsidRPr="00227C94" w:rsidRDefault="0096037B" w:rsidP="0096037B">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2928"/>
        <w:gridCol w:w="1417"/>
        <w:gridCol w:w="113"/>
        <w:gridCol w:w="1417"/>
        <w:gridCol w:w="113"/>
        <w:gridCol w:w="1417"/>
        <w:gridCol w:w="113"/>
        <w:gridCol w:w="1417"/>
      </w:tblGrid>
      <w:tr w:rsidR="0096037B" w:rsidRPr="00227C94" w:rsidTr="00A701F4">
        <w:trPr>
          <w:cantSplit/>
        </w:trPr>
        <w:tc>
          <w:tcPr>
            <w:tcW w:w="2928" w:type="dxa"/>
            <w:tcBorders>
              <w:top w:val="nil"/>
              <w:left w:val="nil"/>
              <w:bottom w:val="nil"/>
              <w:right w:val="nil"/>
            </w:tcBorders>
            <w:vAlign w:val="bottom"/>
          </w:tcPr>
          <w:p w:rsidR="0096037B" w:rsidRPr="00227C94" w:rsidRDefault="0096037B" w:rsidP="0096037B">
            <w:pPr>
              <w:pStyle w:val="tblHeaderText"/>
              <w:jc w:val="left"/>
            </w:pPr>
            <w:r w:rsidRPr="00227C94">
              <w:t>USD’000,</w:t>
            </w:r>
          </w:p>
        </w:tc>
        <w:tc>
          <w:tcPr>
            <w:tcW w:w="2947" w:type="dxa"/>
            <w:gridSpan w:val="3"/>
            <w:tcBorders>
              <w:top w:val="nil"/>
              <w:left w:val="nil"/>
              <w:bottom w:val="single" w:sz="6" w:space="0" w:color="auto"/>
              <w:right w:val="nil"/>
            </w:tcBorders>
            <w:shd w:val="clear" w:color="auto" w:fill="auto"/>
            <w:vAlign w:val="bottom"/>
          </w:tcPr>
          <w:p w:rsidR="0096037B" w:rsidRPr="00227C94" w:rsidRDefault="0096037B" w:rsidP="0096037B">
            <w:pPr>
              <w:pStyle w:val="tblHeaderText"/>
            </w:pPr>
            <w:r w:rsidRPr="00227C94">
              <w:rPr>
                <w:bCs/>
              </w:rPr>
              <w:t>Six months ended 30 June</w:t>
            </w:r>
          </w:p>
        </w:tc>
        <w:tc>
          <w:tcPr>
            <w:tcW w:w="113" w:type="dxa"/>
            <w:tcBorders>
              <w:top w:val="nil"/>
              <w:left w:val="nil"/>
              <w:bottom w:val="nil"/>
              <w:right w:val="nil"/>
            </w:tcBorders>
            <w:vAlign w:val="bottom"/>
          </w:tcPr>
          <w:p w:rsidR="0096037B" w:rsidRPr="00227C94" w:rsidRDefault="0096037B" w:rsidP="0096037B">
            <w:pPr>
              <w:pStyle w:val="tblHeaderText"/>
            </w:pPr>
          </w:p>
        </w:tc>
        <w:tc>
          <w:tcPr>
            <w:tcW w:w="1417" w:type="dxa"/>
            <w:tcBorders>
              <w:top w:val="nil"/>
              <w:left w:val="nil"/>
              <w:right w:val="nil"/>
            </w:tcBorders>
            <w:vAlign w:val="bottom"/>
          </w:tcPr>
          <w:p w:rsidR="003443ED" w:rsidRPr="00227C94" w:rsidRDefault="0096037B" w:rsidP="0096037B">
            <w:pPr>
              <w:pStyle w:val="tblHeaderText"/>
              <w:rPr>
                <w:lang w:val="en-US"/>
              </w:rPr>
            </w:pPr>
            <w:r w:rsidRPr="00227C94">
              <w:t xml:space="preserve">% </w:t>
            </w:r>
          </w:p>
          <w:p w:rsidR="0096037B" w:rsidRPr="00227C94" w:rsidRDefault="0096037B" w:rsidP="0096037B">
            <w:pPr>
              <w:pStyle w:val="tblHeaderText"/>
            </w:pPr>
            <w:r w:rsidRPr="00227C94">
              <w:t>change</w:t>
            </w:r>
          </w:p>
        </w:tc>
        <w:tc>
          <w:tcPr>
            <w:tcW w:w="113" w:type="dxa"/>
            <w:tcBorders>
              <w:top w:val="nil"/>
              <w:left w:val="nil"/>
              <w:bottom w:val="nil"/>
              <w:right w:val="nil"/>
            </w:tcBorders>
          </w:tcPr>
          <w:p w:rsidR="0096037B" w:rsidRPr="00227C94" w:rsidRDefault="0096037B" w:rsidP="0096037B">
            <w:pPr>
              <w:pStyle w:val="tblHeaderText"/>
            </w:pPr>
          </w:p>
        </w:tc>
        <w:tc>
          <w:tcPr>
            <w:tcW w:w="1417" w:type="dxa"/>
            <w:tcBorders>
              <w:top w:val="nil"/>
              <w:left w:val="nil"/>
              <w:right w:val="nil"/>
            </w:tcBorders>
          </w:tcPr>
          <w:p w:rsidR="0096037B" w:rsidRPr="00227C94" w:rsidRDefault="0096037B" w:rsidP="0096037B">
            <w:pPr>
              <w:pStyle w:val="tblHeaderText"/>
            </w:pPr>
            <w:r w:rsidRPr="00227C94">
              <w:t>Year ended</w:t>
            </w:r>
          </w:p>
          <w:p w:rsidR="0096037B" w:rsidRPr="00227C94" w:rsidRDefault="0096037B" w:rsidP="0096037B">
            <w:pPr>
              <w:pStyle w:val="tblHeaderText"/>
            </w:pPr>
            <w:r w:rsidRPr="00227C94">
              <w:t>31 December</w:t>
            </w:r>
          </w:p>
        </w:tc>
      </w:tr>
      <w:tr w:rsidR="0096037B" w:rsidRPr="00227C94" w:rsidTr="00A701F4">
        <w:trPr>
          <w:cantSplit/>
        </w:trPr>
        <w:tc>
          <w:tcPr>
            <w:tcW w:w="2928" w:type="dxa"/>
            <w:tcBorders>
              <w:top w:val="nil"/>
              <w:left w:val="nil"/>
              <w:bottom w:val="nil"/>
              <w:right w:val="nil"/>
            </w:tcBorders>
          </w:tcPr>
          <w:p w:rsidR="0096037B" w:rsidRPr="00227C94" w:rsidRDefault="0096037B" w:rsidP="0096037B">
            <w:pPr>
              <w:pStyle w:val="tblHeaderText"/>
              <w:jc w:val="left"/>
            </w:pPr>
            <w:r w:rsidRPr="00227C94">
              <w:t>unless otherwise indicated</w:t>
            </w:r>
          </w:p>
        </w:tc>
        <w:tc>
          <w:tcPr>
            <w:tcW w:w="1417" w:type="dxa"/>
            <w:tcBorders>
              <w:top w:val="single" w:sz="6" w:space="0" w:color="auto"/>
              <w:left w:val="nil"/>
              <w:bottom w:val="single" w:sz="6" w:space="0" w:color="auto"/>
              <w:right w:val="nil"/>
            </w:tcBorders>
            <w:shd w:val="clear" w:color="auto" w:fill="auto"/>
          </w:tcPr>
          <w:p w:rsidR="0096037B" w:rsidRPr="00227C94" w:rsidRDefault="0096037B" w:rsidP="0096037B">
            <w:pPr>
              <w:pStyle w:val="tblHeaderText"/>
            </w:pPr>
            <w:r w:rsidRPr="00227C94">
              <w:t>2012</w:t>
            </w:r>
          </w:p>
        </w:tc>
        <w:tc>
          <w:tcPr>
            <w:tcW w:w="113" w:type="dxa"/>
            <w:tcBorders>
              <w:top w:val="single" w:sz="6" w:space="0" w:color="auto"/>
              <w:left w:val="nil"/>
              <w:bottom w:val="nil"/>
              <w:right w:val="nil"/>
            </w:tcBorders>
            <w:shd w:val="clear" w:color="auto" w:fill="auto"/>
          </w:tcPr>
          <w:p w:rsidR="0096037B" w:rsidRPr="00227C94" w:rsidRDefault="0096037B" w:rsidP="0096037B">
            <w:pPr>
              <w:pStyle w:val="tblHeaderText"/>
            </w:pPr>
          </w:p>
        </w:tc>
        <w:tc>
          <w:tcPr>
            <w:tcW w:w="1417" w:type="dxa"/>
            <w:tcBorders>
              <w:top w:val="single" w:sz="6" w:space="0" w:color="auto"/>
              <w:left w:val="nil"/>
              <w:bottom w:val="single" w:sz="6" w:space="0" w:color="auto"/>
              <w:right w:val="nil"/>
            </w:tcBorders>
            <w:shd w:val="clear" w:color="auto" w:fill="auto"/>
          </w:tcPr>
          <w:p w:rsidR="0096037B" w:rsidRPr="00227C94" w:rsidRDefault="0096037B" w:rsidP="0096037B">
            <w:pPr>
              <w:pStyle w:val="tblHeaderText"/>
            </w:pPr>
            <w:r w:rsidRPr="00227C94">
              <w:t>2011</w:t>
            </w:r>
          </w:p>
        </w:tc>
        <w:tc>
          <w:tcPr>
            <w:tcW w:w="113" w:type="dxa"/>
            <w:tcBorders>
              <w:top w:val="nil"/>
              <w:left w:val="nil"/>
              <w:right w:val="nil"/>
            </w:tcBorders>
          </w:tcPr>
          <w:p w:rsidR="0096037B" w:rsidRPr="00227C94" w:rsidRDefault="0096037B" w:rsidP="0096037B">
            <w:pPr>
              <w:pStyle w:val="tblHeaderText"/>
            </w:pPr>
          </w:p>
        </w:tc>
        <w:tc>
          <w:tcPr>
            <w:tcW w:w="1417" w:type="dxa"/>
            <w:tcBorders>
              <w:top w:val="nil"/>
              <w:left w:val="nil"/>
              <w:bottom w:val="single" w:sz="6" w:space="0" w:color="auto"/>
              <w:right w:val="nil"/>
            </w:tcBorders>
            <w:shd w:val="clear" w:color="auto" w:fill="auto"/>
          </w:tcPr>
          <w:p w:rsidR="0096037B" w:rsidRPr="00227C94" w:rsidRDefault="0096037B" w:rsidP="0096037B">
            <w:pPr>
              <w:pStyle w:val="tblHeaderText"/>
            </w:pPr>
            <w:r w:rsidRPr="00227C94">
              <w:t>p-o-p</w:t>
            </w:r>
          </w:p>
        </w:tc>
        <w:tc>
          <w:tcPr>
            <w:tcW w:w="113" w:type="dxa"/>
            <w:tcBorders>
              <w:top w:val="nil"/>
              <w:left w:val="nil"/>
              <w:right w:val="nil"/>
            </w:tcBorders>
          </w:tcPr>
          <w:p w:rsidR="0096037B" w:rsidRPr="00227C94" w:rsidRDefault="0096037B" w:rsidP="0096037B">
            <w:pPr>
              <w:pStyle w:val="tblHeaderText"/>
            </w:pPr>
          </w:p>
        </w:tc>
        <w:tc>
          <w:tcPr>
            <w:tcW w:w="1417" w:type="dxa"/>
            <w:tcBorders>
              <w:top w:val="nil"/>
              <w:left w:val="nil"/>
              <w:bottom w:val="single" w:sz="6" w:space="0" w:color="auto"/>
              <w:right w:val="nil"/>
            </w:tcBorders>
            <w:shd w:val="clear" w:color="auto" w:fill="auto"/>
          </w:tcPr>
          <w:p w:rsidR="0096037B" w:rsidRPr="00227C94" w:rsidRDefault="0096037B" w:rsidP="0096037B">
            <w:pPr>
              <w:pStyle w:val="tblHeaderText"/>
            </w:pPr>
            <w:r w:rsidRPr="00227C94">
              <w:t>2011</w:t>
            </w:r>
          </w:p>
        </w:tc>
      </w:tr>
      <w:tr w:rsidR="0096037B" w:rsidRPr="00227C94" w:rsidTr="00A701F4">
        <w:trPr>
          <w:cantSplit/>
        </w:trPr>
        <w:tc>
          <w:tcPr>
            <w:tcW w:w="2928" w:type="dxa"/>
            <w:tcBorders>
              <w:top w:val="nil"/>
              <w:left w:val="nil"/>
              <w:bottom w:val="nil"/>
              <w:right w:val="nil"/>
            </w:tcBorders>
          </w:tcPr>
          <w:p w:rsidR="0096037B" w:rsidRPr="00227C94" w:rsidRDefault="0096037B" w:rsidP="0096037B">
            <w:pPr>
              <w:pStyle w:val="tblHeaderText"/>
              <w:jc w:val="left"/>
            </w:pPr>
          </w:p>
        </w:tc>
        <w:tc>
          <w:tcPr>
            <w:tcW w:w="1417" w:type="dxa"/>
            <w:tcBorders>
              <w:top w:val="single" w:sz="6" w:space="0" w:color="auto"/>
              <w:left w:val="nil"/>
              <w:bottom w:val="nil"/>
              <w:right w:val="nil"/>
            </w:tcBorders>
            <w:shd w:val="clear" w:color="auto" w:fill="auto"/>
          </w:tcPr>
          <w:p w:rsidR="0096037B" w:rsidRPr="00227C94" w:rsidRDefault="0096037B" w:rsidP="0096037B">
            <w:pPr>
              <w:pStyle w:val="tblHeaderText"/>
            </w:pPr>
          </w:p>
        </w:tc>
        <w:tc>
          <w:tcPr>
            <w:tcW w:w="113" w:type="dxa"/>
            <w:tcBorders>
              <w:top w:val="nil"/>
              <w:left w:val="nil"/>
              <w:bottom w:val="nil"/>
              <w:right w:val="nil"/>
            </w:tcBorders>
          </w:tcPr>
          <w:p w:rsidR="0096037B" w:rsidRPr="00227C94" w:rsidRDefault="0096037B" w:rsidP="0096037B">
            <w:pPr>
              <w:pStyle w:val="tblHeaderText"/>
            </w:pPr>
          </w:p>
        </w:tc>
        <w:tc>
          <w:tcPr>
            <w:tcW w:w="1417" w:type="dxa"/>
            <w:tcBorders>
              <w:top w:val="single" w:sz="6" w:space="0" w:color="auto"/>
              <w:left w:val="nil"/>
              <w:bottom w:val="nil"/>
              <w:right w:val="nil"/>
            </w:tcBorders>
            <w:shd w:val="clear" w:color="auto" w:fill="auto"/>
          </w:tcPr>
          <w:p w:rsidR="0096037B" w:rsidRPr="00227C94" w:rsidRDefault="0096037B" w:rsidP="0096037B">
            <w:pPr>
              <w:pStyle w:val="tblHeaderText"/>
            </w:pPr>
          </w:p>
        </w:tc>
        <w:tc>
          <w:tcPr>
            <w:tcW w:w="113" w:type="dxa"/>
            <w:tcBorders>
              <w:left w:val="nil"/>
              <w:bottom w:val="nil"/>
              <w:right w:val="nil"/>
            </w:tcBorders>
            <w:shd w:val="clear" w:color="auto" w:fill="auto"/>
          </w:tcPr>
          <w:p w:rsidR="0096037B" w:rsidRPr="00227C94" w:rsidRDefault="0096037B" w:rsidP="0096037B">
            <w:pPr>
              <w:pStyle w:val="tblHeaderText"/>
            </w:pPr>
          </w:p>
        </w:tc>
        <w:tc>
          <w:tcPr>
            <w:tcW w:w="1417" w:type="dxa"/>
            <w:tcBorders>
              <w:top w:val="single" w:sz="6" w:space="0" w:color="auto"/>
              <w:left w:val="nil"/>
              <w:bottom w:val="nil"/>
              <w:right w:val="nil"/>
            </w:tcBorders>
            <w:shd w:val="clear" w:color="auto" w:fill="auto"/>
          </w:tcPr>
          <w:p w:rsidR="0096037B" w:rsidRPr="00227C94" w:rsidRDefault="0096037B" w:rsidP="0096037B">
            <w:pPr>
              <w:pStyle w:val="tblHeaderText"/>
            </w:pPr>
          </w:p>
        </w:tc>
        <w:tc>
          <w:tcPr>
            <w:tcW w:w="113" w:type="dxa"/>
            <w:tcBorders>
              <w:left w:val="nil"/>
              <w:bottom w:val="nil"/>
              <w:right w:val="nil"/>
            </w:tcBorders>
            <w:shd w:val="clear" w:color="auto" w:fill="auto"/>
          </w:tcPr>
          <w:p w:rsidR="0096037B" w:rsidRPr="00227C94" w:rsidRDefault="0096037B" w:rsidP="0096037B">
            <w:pPr>
              <w:pStyle w:val="tblHeaderText"/>
            </w:pPr>
          </w:p>
        </w:tc>
        <w:tc>
          <w:tcPr>
            <w:tcW w:w="1417" w:type="dxa"/>
            <w:tcBorders>
              <w:top w:val="single" w:sz="6" w:space="0" w:color="auto"/>
              <w:left w:val="nil"/>
              <w:bottom w:val="nil"/>
              <w:right w:val="nil"/>
            </w:tcBorders>
            <w:shd w:val="clear" w:color="auto" w:fill="auto"/>
          </w:tcPr>
          <w:p w:rsidR="0096037B" w:rsidRPr="00227C94" w:rsidRDefault="0096037B" w:rsidP="0096037B">
            <w:pPr>
              <w:pStyle w:val="tblHeaderText"/>
            </w:pP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pPr>
            <w:r w:rsidRPr="00227C94">
              <w:t>Gold production (thousand ounces)</w:t>
            </w:r>
          </w:p>
        </w:tc>
        <w:tc>
          <w:tcPr>
            <w:tcW w:w="1417" w:type="dxa"/>
            <w:tcBorders>
              <w:top w:val="nil"/>
              <w:left w:val="nil"/>
              <w:bottom w:val="nil"/>
              <w:right w:val="nil"/>
            </w:tcBorders>
            <w:vAlign w:val="bottom"/>
          </w:tcPr>
          <w:p w:rsidR="0096037B" w:rsidRPr="00227C94" w:rsidRDefault="0096037B" w:rsidP="0096037B">
            <w:pPr>
              <w:pStyle w:val="tblNumber01"/>
            </w:pPr>
            <w:r w:rsidRPr="00227C94">
              <w:t>44</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45</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0"/>
            </w:pPr>
            <w:r w:rsidRPr="00227C94">
              <w:t>(3)</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210</w:t>
            </w: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rPr>
                <w:vertAlign w:val="superscript"/>
              </w:rPr>
            </w:pPr>
            <w:r w:rsidRPr="00227C94">
              <w:t>Gold sales</w:t>
            </w:r>
          </w:p>
        </w:tc>
        <w:tc>
          <w:tcPr>
            <w:tcW w:w="1417" w:type="dxa"/>
            <w:tcBorders>
              <w:top w:val="nil"/>
              <w:left w:val="nil"/>
              <w:bottom w:val="nil"/>
              <w:right w:val="nil"/>
            </w:tcBorders>
            <w:vAlign w:val="bottom"/>
          </w:tcPr>
          <w:p w:rsidR="0096037B" w:rsidRPr="00227C94" w:rsidRDefault="0096037B" w:rsidP="0096037B">
            <w:pPr>
              <w:pStyle w:val="tblNumber01"/>
            </w:pPr>
            <w:r w:rsidRPr="00227C94">
              <w:t>72,781</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66,644</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9</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350,213</w:t>
            </w: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pPr>
            <w:r w:rsidRPr="00227C94">
              <w:t>Gold sales (thousand ounces)</w:t>
            </w:r>
          </w:p>
        </w:tc>
        <w:tc>
          <w:tcPr>
            <w:tcW w:w="1417" w:type="dxa"/>
            <w:tcBorders>
              <w:top w:val="nil"/>
              <w:left w:val="nil"/>
              <w:bottom w:val="nil"/>
              <w:right w:val="nil"/>
            </w:tcBorders>
            <w:vAlign w:val="bottom"/>
          </w:tcPr>
          <w:p w:rsidR="0096037B" w:rsidRPr="00227C94" w:rsidRDefault="0096037B" w:rsidP="0096037B">
            <w:pPr>
              <w:pStyle w:val="tblNumber01"/>
            </w:pPr>
            <w:r w:rsidRPr="00227C94">
              <w:t>44</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45</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0"/>
            </w:pPr>
            <w:r w:rsidRPr="00227C94">
              <w:t>(</w:t>
            </w:r>
            <w:r w:rsidR="002E7579" w:rsidRPr="00227C94">
              <w:rPr>
                <w:lang w:val="en-GB"/>
              </w:rPr>
              <w:t>3</w:t>
            </w:r>
            <w:r w:rsidRPr="00227C94">
              <w:t>)</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210</w:t>
            </w: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pPr>
            <w:r w:rsidRPr="00227C94">
              <w:t>Segment profit</w:t>
            </w:r>
          </w:p>
        </w:tc>
        <w:tc>
          <w:tcPr>
            <w:tcW w:w="1417" w:type="dxa"/>
            <w:tcBorders>
              <w:top w:val="nil"/>
              <w:left w:val="nil"/>
              <w:bottom w:val="nil"/>
              <w:right w:val="nil"/>
            </w:tcBorders>
            <w:vAlign w:val="bottom"/>
          </w:tcPr>
          <w:p w:rsidR="0096037B" w:rsidRPr="00227C94" w:rsidRDefault="0096037B" w:rsidP="0096037B">
            <w:pPr>
              <w:pStyle w:val="tblNumber01"/>
            </w:pPr>
            <w:r w:rsidRPr="00227C94">
              <w:t>24,715</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6,588</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275</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102,795</w:t>
            </w: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pPr>
            <w:r w:rsidRPr="00227C94">
              <w:t>Segment profit margin (%)</w:t>
            </w:r>
          </w:p>
        </w:tc>
        <w:tc>
          <w:tcPr>
            <w:tcW w:w="1417" w:type="dxa"/>
            <w:tcBorders>
              <w:top w:val="nil"/>
              <w:left w:val="nil"/>
              <w:bottom w:val="nil"/>
              <w:right w:val="nil"/>
            </w:tcBorders>
            <w:vAlign w:val="bottom"/>
          </w:tcPr>
          <w:p w:rsidR="0096037B" w:rsidRPr="00227C94" w:rsidRDefault="0096037B" w:rsidP="0096037B">
            <w:pPr>
              <w:pStyle w:val="tblNumber01"/>
            </w:pPr>
            <w:r w:rsidRPr="00227C94">
              <w:t>34%</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10%</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244</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29%</w:t>
            </w: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rPr>
                <w:lang w:val="en-US"/>
              </w:rPr>
            </w:pPr>
            <w:r w:rsidRPr="00227C94">
              <w:rPr>
                <w:lang w:val="en-US"/>
              </w:rPr>
              <w:t>TCC per ounce sold (USD/ounce)</w:t>
            </w:r>
          </w:p>
        </w:tc>
        <w:tc>
          <w:tcPr>
            <w:tcW w:w="1417" w:type="dxa"/>
            <w:tcBorders>
              <w:top w:val="nil"/>
              <w:left w:val="nil"/>
              <w:bottom w:val="nil"/>
              <w:right w:val="nil"/>
            </w:tcBorders>
            <w:vAlign w:val="bottom"/>
          </w:tcPr>
          <w:p w:rsidR="0096037B" w:rsidRPr="00227C94" w:rsidRDefault="0096037B" w:rsidP="0096037B">
            <w:pPr>
              <w:pStyle w:val="tblNumber01"/>
            </w:pPr>
            <w:r w:rsidRPr="00227C94">
              <w:t>866</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628</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38</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776</w:t>
            </w:r>
          </w:p>
        </w:tc>
      </w:tr>
    </w:tbl>
    <w:p w:rsidR="0096037B" w:rsidRPr="00227C94" w:rsidRDefault="0096037B" w:rsidP="0096037B">
      <w:pPr>
        <w:pStyle w:val="23"/>
        <w:rPr>
          <w:color w:val="auto"/>
          <w:sz w:val="18"/>
          <w:szCs w:val="18"/>
        </w:rPr>
      </w:pPr>
      <w:r w:rsidRPr="00227C94">
        <w:rPr>
          <w:color w:val="auto"/>
          <w:sz w:val="18"/>
          <w:szCs w:val="18"/>
        </w:rPr>
        <w:t>_______</w:t>
      </w:r>
      <w:r w:rsidRPr="00227C94">
        <w:rPr>
          <w:color w:val="auto"/>
          <w:sz w:val="18"/>
          <w:szCs w:val="18"/>
          <w:lang w:val="en-US"/>
        </w:rPr>
        <w:t>____________</w:t>
      </w:r>
      <w:r w:rsidRPr="00227C94">
        <w:rPr>
          <w:color w:val="auto"/>
          <w:sz w:val="18"/>
          <w:szCs w:val="18"/>
        </w:rPr>
        <w:t>_________</w:t>
      </w:r>
    </w:p>
    <w:p w:rsidR="00916675" w:rsidRPr="00227C94" w:rsidRDefault="00916675" w:rsidP="0096037B">
      <w:pPr>
        <w:pStyle w:val="23"/>
        <w:rPr>
          <w:color w:val="auto"/>
          <w:sz w:val="18"/>
          <w:szCs w:val="16"/>
        </w:rPr>
      </w:pPr>
      <w:r w:rsidRPr="00227C94">
        <w:rPr>
          <w:color w:val="auto"/>
          <w:sz w:val="18"/>
          <w:szCs w:val="16"/>
        </w:rPr>
        <w:t>Source: Management accounting data.</w:t>
      </w:r>
    </w:p>
    <w:p w:rsidR="0096037B" w:rsidRPr="00227C94" w:rsidRDefault="0096037B" w:rsidP="0096037B">
      <w:pPr>
        <w:pStyle w:val="23"/>
        <w:rPr>
          <w:color w:val="auto"/>
          <w:spacing w:val="-2"/>
          <w:lang w:val="en-US"/>
        </w:rPr>
      </w:pPr>
    </w:p>
    <w:p w:rsidR="00916675" w:rsidRPr="00227C94" w:rsidRDefault="00916675" w:rsidP="0096037B">
      <w:pPr>
        <w:pStyle w:val="23"/>
        <w:rPr>
          <w:color w:val="auto"/>
          <w:lang w:val="en-US"/>
        </w:rPr>
      </w:pPr>
      <w:r w:rsidRPr="00227C94">
        <w:rPr>
          <w:color w:val="auto"/>
          <w:lang w:val="en-US"/>
        </w:rPr>
        <w:t>In H1 2012, refined gold production at the Group’s alluvial deposits in the Irkutsk region was at the level of the H1 2011 and amounted to 44 thousand ounces. In the reporting period, alluvial enterprises washed lesser volume of sands, but with higher gold content.</w:t>
      </w:r>
    </w:p>
    <w:p w:rsidR="0096037B" w:rsidRPr="00227C94" w:rsidRDefault="0096037B" w:rsidP="0096037B">
      <w:pPr>
        <w:pStyle w:val="23"/>
        <w:rPr>
          <w:color w:val="auto"/>
          <w:lang w:val="en-US"/>
        </w:rPr>
      </w:pPr>
    </w:p>
    <w:p w:rsidR="00916675" w:rsidRPr="00227C94" w:rsidRDefault="00916675" w:rsidP="0096037B">
      <w:pPr>
        <w:pStyle w:val="23"/>
        <w:rPr>
          <w:color w:val="auto"/>
          <w:spacing w:val="-2"/>
          <w:lang w:val="en-US"/>
        </w:rPr>
      </w:pPr>
      <w:r w:rsidRPr="00227C94">
        <w:rPr>
          <w:color w:val="auto"/>
          <w:spacing w:val="-2"/>
          <w:lang w:val="en-US"/>
        </w:rPr>
        <w:t>Gold sales of the Irkutsk alluvial business unit increased from USD66</w:t>
      </w:r>
      <w:proofErr w:type="gramStart"/>
      <w:r w:rsidRPr="00227C94">
        <w:rPr>
          <w:color w:val="auto"/>
          <w:spacing w:val="-2"/>
          <w:lang w:val="en-US"/>
        </w:rPr>
        <w:t>,644</w:t>
      </w:r>
      <w:proofErr w:type="gramEnd"/>
      <w:r w:rsidRPr="00227C94">
        <w:rPr>
          <w:color w:val="auto"/>
          <w:spacing w:val="-2"/>
          <w:lang w:val="en-US"/>
        </w:rPr>
        <w:t xml:space="preserve"> thousand in H1 2011 to USD72,781 thousand in H1 2012 on the back of the growing realised gold price. All gold produced in the reporting period was sold within the period.</w:t>
      </w:r>
    </w:p>
    <w:p w:rsidR="0096037B" w:rsidRPr="00227C94" w:rsidRDefault="0096037B" w:rsidP="0096037B">
      <w:pPr>
        <w:pStyle w:val="23"/>
        <w:rPr>
          <w:color w:val="auto"/>
          <w:lang w:val="en-US"/>
        </w:rPr>
      </w:pPr>
    </w:p>
    <w:p w:rsidR="00916675" w:rsidRPr="00227C94" w:rsidRDefault="00916675" w:rsidP="0096037B">
      <w:pPr>
        <w:pStyle w:val="23"/>
        <w:rPr>
          <w:color w:val="auto"/>
          <w:lang w:val="en-US"/>
        </w:rPr>
      </w:pPr>
      <w:r w:rsidRPr="00227C94">
        <w:rPr>
          <w:color w:val="auto"/>
          <w:lang w:val="en-US"/>
        </w:rPr>
        <w:t xml:space="preserve">Total cash costs per ounce of gold sold amounted to USD866 in H1 2012, compared to USD628 </w:t>
      </w:r>
      <w:r w:rsidRPr="00227C94">
        <w:rPr>
          <w:color w:val="auto"/>
          <w:spacing w:val="-2"/>
          <w:lang w:val="en-US"/>
        </w:rPr>
        <w:t xml:space="preserve">in H1 2011. In addition to the factors impacting on cash costs throughout the Group in H1 2012 as well as detailed analysis by business units (see paragraph 1.3 “Cost of gold sales – Cash operating costs”), the increase in TCC per ounce sold at the Irkutsk alluvial business unit was mainly attributable to increased payroll costs (due to bonus payments for exceeding the production plan) and consumption </w:t>
      </w:r>
      <w:r w:rsidRPr="00227C94">
        <w:rPr>
          <w:color w:val="auto"/>
          <w:spacing w:val="-3"/>
          <w:lang w:val="en-US"/>
        </w:rPr>
        <w:t xml:space="preserve">of consumables and tires for mining fleet, resulting from the early commencement of the mining season, </w:t>
      </w:r>
      <w:r w:rsidRPr="00227C94">
        <w:rPr>
          <w:color w:val="auto"/>
          <w:lang w:val="en-US"/>
        </w:rPr>
        <w:t>increased volumes of repair works and the increased cost of outsourced mining services. Labour costs have been the largest component of cost of gold sales at the Irkutsk alluvial business unit.</w:t>
      </w:r>
    </w:p>
    <w:p w:rsidR="0096037B" w:rsidRPr="00227C94" w:rsidRDefault="0096037B" w:rsidP="0096037B">
      <w:pPr>
        <w:pStyle w:val="23"/>
        <w:rPr>
          <w:color w:val="auto"/>
          <w:lang w:val="en-US"/>
        </w:rPr>
      </w:pPr>
    </w:p>
    <w:p w:rsidR="00916675" w:rsidRPr="00227C94" w:rsidRDefault="00916675" w:rsidP="0096037B">
      <w:pPr>
        <w:pStyle w:val="22"/>
        <w:rPr>
          <w:lang w:val="en-US"/>
        </w:rPr>
      </w:pPr>
      <w:bookmarkStart w:id="245" w:name="_Toc313004205"/>
      <w:bookmarkStart w:id="246" w:name="_Toc320887007"/>
      <w:r w:rsidRPr="00227C94">
        <w:rPr>
          <w:lang w:val="en-US"/>
        </w:rPr>
        <w:t>2.3 The Yakutia Kuranakh business unit (the Kuranakh mine)</w:t>
      </w:r>
      <w:bookmarkEnd w:id="245"/>
      <w:bookmarkEnd w:id="246"/>
    </w:p>
    <w:p w:rsidR="0096037B" w:rsidRPr="00227C94" w:rsidRDefault="0096037B" w:rsidP="0096037B">
      <w:pPr>
        <w:pStyle w:val="23"/>
        <w:rPr>
          <w:color w:val="auto"/>
          <w:lang w:val="en-US"/>
        </w:rPr>
      </w:pPr>
    </w:p>
    <w:p w:rsidR="00916675" w:rsidRPr="00227C94" w:rsidRDefault="00916675" w:rsidP="0096037B">
      <w:pPr>
        <w:pStyle w:val="23"/>
        <w:rPr>
          <w:color w:val="auto"/>
          <w:lang w:val="en-US"/>
        </w:rPr>
      </w:pPr>
      <w:r w:rsidRPr="00227C94">
        <w:rPr>
          <w:bCs/>
          <w:color w:val="auto"/>
          <w:lang w:val="en-US"/>
        </w:rPr>
        <w:t>The Yakutia Kuranakh business unit operates the Kuranakh mine</w:t>
      </w:r>
      <w:r w:rsidRPr="00227C94">
        <w:rPr>
          <w:color w:val="auto"/>
          <w:lang w:val="en-US"/>
        </w:rPr>
        <w:t xml:space="preserve"> in the Sakha Republic (Yakutia). The table below shows selected financial data for this unit for six months ended 30 June 2012 and 2011, and for the year ended 31 December 2011.</w:t>
      </w:r>
    </w:p>
    <w:p w:rsidR="00916675" w:rsidRPr="00227C94" w:rsidRDefault="00916675" w:rsidP="0096037B">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2928"/>
        <w:gridCol w:w="1417"/>
        <w:gridCol w:w="113"/>
        <w:gridCol w:w="1417"/>
        <w:gridCol w:w="113"/>
        <w:gridCol w:w="1417"/>
        <w:gridCol w:w="113"/>
        <w:gridCol w:w="1417"/>
      </w:tblGrid>
      <w:tr w:rsidR="0096037B" w:rsidRPr="00227C94" w:rsidTr="00A701F4">
        <w:trPr>
          <w:cantSplit/>
        </w:trPr>
        <w:tc>
          <w:tcPr>
            <w:tcW w:w="2928" w:type="dxa"/>
            <w:tcBorders>
              <w:top w:val="nil"/>
              <w:left w:val="nil"/>
              <w:bottom w:val="nil"/>
              <w:right w:val="nil"/>
            </w:tcBorders>
            <w:vAlign w:val="bottom"/>
          </w:tcPr>
          <w:p w:rsidR="0096037B" w:rsidRPr="00227C94" w:rsidRDefault="0096037B" w:rsidP="0096037B">
            <w:pPr>
              <w:pStyle w:val="tblHeaderText"/>
              <w:jc w:val="left"/>
            </w:pPr>
            <w:r w:rsidRPr="00227C94">
              <w:t>USD’000,</w:t>
            </w:r>
          </w:p>
        </w:tc>
        <w:tc>
          <w:tcPr>
            <w:tcW w:w="2947" w:type="dxa"/>
            <w:gridSpan w:val="3"/>
            <w:tcBorders>
              <w:top w:val="nil"/>
              <w:left w:val="nil"/>
              <w:bottom w:val="single" w:sz="6" w:space="0" w:color="auto"/>
              <w:right w:val="nil"/>
            </w:tcBorders>
            <w:shd w:val="clear" w:color="auto" w:fill="auto"/>
            <w:vAlign w:val="bottom"/>
          </w:tcPr>
          <w:p w:rsidR="0096037B" w:rsidRPr="00227C94" w:rsidRDefault="0096037B" w:rsidP="0096037B">
            <w:pPr>
              <w:pStyle w:val="tblHeaderText"/>
            </w:pPr>
            <w:r w:rsidRPr="00227C94">
              <w:rPr>
                <w:bCs/>
              </w:rPr>
              <w:t>Six months ended 30 June</w:t>
            </w:r>
          </w:p>
        </w:tc>
        <w:tc>
          <w:tcPr>
            <w:tcW w:w="113" w:type="dxa"/>
            <w:tcBorders>
              <w:top w:val="nil"/>
              <w:left w:val="nil"/>
              <w:bottom w:val="nil"/>
              <w:right w:val="nil"/>
            </w:tcBorders>
            <w:vAlign w:val="bottom"/>
          </w:tcPr>
          <w:p w:rsidR="0096037B" w:rsidRPr="00227C94" w:rsidRDefault="0096037B" w:rsidP="0096037B">
            <w:pPr>
              <w:pStyle w:val="tblHeaderText"/>
            </w:pPr>
          </w:p>
        </w:tc>
        <w:tc>
          <w:tcPr>
            <w:tcW w:w="1417" w:type="dxa"/>
            <w:tcBorders>
              <w:top w:val="nil"/>
              <w:left w:val="nil"/>
              <w:right w:val="nil"/>
            </w:tcBorders>
            <w:vAlign w:val="bottom"/>
          </w:tcPr>
          <w:p w:rsidR="003443ED" w:rsidRPr="00227C94" w:rsidRDefault="0096037B" w:rsidP="0096037B">
            <w:pPr>
              <w:pStyle w:val="tblHeaderText"/>
              <w:rPr>
                <w:lang w:val="en-US"/>
              </w:rPr>
            </w:pPr>
            <w:r w:rsidRPr="00227C94">
              <w:t xml:space="preserve">% </w:t>
            </w:r>
          </w:p>
          <w:p w:rsidR="0096037B" w:rsidRPr="00227C94" w:rsidRDefault="0096037B" w:rsidP="0096037B">
            <w:pPr>
              <w:pStyle w:val="tblHeaderText"/>
            </w:pPr>
            <w:r w:rsidRPr="00227C94">
              <w:t>change</w:t>
            </w:r>
          </w:p>
        </w:tc>
        <w:tc>
          <w:tcPr>
            <w:tcW w:w="113" w:type="dxa"/>
            <w:tcBorders>
              <w:top w:val="nil"/>
              <w:left w:val="nil"/>
              <w:bottom w:val="nil"/>
              <w:right w:val="nil"/>
            </w:tcBorders>
            <w:vAlign w:val="bottom"/>
          </w:tcPr>
          <w:p w:rsidR="0096037B" w:rsidRPr="00227C94" w:rsidRDefault="0096037B" w:rsidP="0096037B">
            <w:pPr>
              <w:pStyle w:val="tblHeaderText"/>
            </w:pPr>
          </w:p>
        </w:tc>
        <w:tc>
          <w:tcPr>
            <w:tcW w:w="1417" w:type="dxa"/>
            <w:tcBorders>
              <w:top w:val="nil"/>
              <w:left w:val="nil"/>
              <w:right w:val="nil"/>
            </w:tcBorders>
            <w:vAlign w:val="bottom"/>
          </w:tcPr>
          <w:p w:rsidR="0096037B" w:rsidRPr="00227C94" w:rsidRDefault="0096037B" w:rsidP="0096037B">
            <w:pPr>
              <w:pStyle w:val="tblHeaderText"/>
            </w:pPr>
            <w:r w:rsidRPr="00227C94">
              <w:t>Year ended</w:t>
            </w:r>
          </w:p>
          <w:p w:rsidR="0096037B" w:rsidRPr="00227C94" w:rsidRDefault="0096037B" w:rsidP="0096037B">
            <w:pPr>
              <w:pStyle w:val="tblHeaderText"/>
            </w:pPr>
            <w:r w:rsidRPr="00227C94">
              <w:t>31 December</w:t>
            </w:r>
          </w:p>
        </w:tc>
      </w:tr>
      <w:tr w:rsidR="0096037B" w:rsidRPr="00227C94" w:rsidTr="00A701F4">
        <w:trPr>
          <w:cantSplit/>
        </w:trPr>
        <w:tc>
          <w:tcPr>
            <w:tcW w:w="2928" w:type="dxa"/>
            <w:tcBorders>
              <w:top w:val="nil"/>
              <w:left w:val="nil"/>
              <w:bottom w:val="nil"/>
              <w:right w:val="nil"/>
            </w:tcBorders>
          </w:tcPr>
          <w:p w:rsidR="0096037B" w:rsidRPr="00227C94" w:rsidRDefault="0096037B" w:rsidP="0096037B">
            <w:pPr>
              <w:pStyle w:val="tblHeaderText"/>
              <w:jc w:val="left"/>
            </w:pPr>
            <w:r w:rsidRPr="00227C94">
              <w:t>unless otherwise indicated</w:t>
            </w:r>
          </w:p>
        </w:tc>
        <w:tc>
          <w:tcPr>
            <w:tcW w:w="1417" w:type="dxa"/>
            <w:tcBorders>
              <w:top w:val="single" w:sz="6" w:space="0" w:color="auto"/>
              <w:left w:val="nil"/>
              <w:bottom w:val="single" w:sz="6" w:space="0" w:color="auto"/>
              <w:right w:val="nil"/>
            </w:tcBorders>
            <w:shd w:val="clear" w:color="auto" w:fill="auto"/>
          </w:tcPr>
          <w:p w:rsidR="0096037B" w:rsidRPr="00227C94" w:rsidRDefault="0096037B" w:rsidP="0096037B">
            <w:pPr>
              <w:pStyle w:val="tblHeaderText"/>
            </w:pPr>
            <w:r w:rsidRPr="00227C94">
              <w:t>2012</w:t>
            </w:r>
          </w:p>
        </w:tc>
        <w:tc>
          <w:tcPr>
            <w:tcW w:w="113" w:type="dxa"/>
            <w:tcBorders>
              <w:top w:val="single" w:sz="6" w:space="0" w:color="auto"/>
              <w:left w:val="nil"/>
              <w:bottom w:val="nil"/>
              <w:right w:val="nil"/>
            </w:tcBorders>
            <w:shd w:val="clear" w:color="auto" w:fill="auto"/>
          </w:tcPr>
          <w:p w:rsidR="0096037B" w:rsidRPr="00227C94" w:rsidRDefault="0096037B" w:rsidP="0096037B">
            <w:pPr>
              <w:pStyle w:val="tblHeaderText"/>
            </w:pPr>
          </w:p>
        </w:tc>
        <w:tc>
          <w:tcPr>
            <w:tcW w:w="1417" w:type="dxa"/>
            <w:tcBorders>
              <w:top w:val="single" w:sz="6" w:space="0" w:color="auto"/>
              <w:left w:val="nil"/>
              <w:bottom w:val="single" w:sz="6" w:space="0" w:color="auto"/>
              <w:right w:val="nil"/>
            </w:tcBorders>
            <w:shd w:val="clear" w:color="auto" w:fill="auto"/>
          </w:tcPr>
          <w:p w:rsidR="0096037B" w:rsidRPr="00227C94" w:rsidRDefault="0096037B" w:rsidP="0096037B">
            <w:pPr>
              <w:pStyle w:val="tblHeaderText"/>
            </w:pPr>
            <w:r w:rsidRPr="00227C94">
              <w:t>2011</w:t>
            </w:r>
          </w:p>
        </w:tc>
        <w:tc>
          <w:tcPr>
            <w:tcW w:w="113" w:type="dxa"/>
            <w:tcBorders>
              <w:top w:val="nil"/>
              <w:left w:val="nil"/>
              <w:right w:val="nil"/>
            </w:tcBorders>
          </w:tcPr>
          <w:p w:rsidR="0096037B" w:rsidRPr="00227C94" w:rsidRDefault="0096037B" w:rsidP="0096037B">
            <w:pPr>
              <w:pStyle w:val="tblHeaderText"/>
            </w:pPr>
          </w:p>
        </w:tc>
        <w:tc>
          <w:tcPr>
            <w:tcW w:w="1417" w:type="dxa"/>
            <w:tcBorders>
              <w:top w:val="nil"/>
              <w:left w:val="nil"/>
              <w:bottom w:val="single" w:sz="6" w:space="0" w:color="auto"/>
              <w:right w:val="nil"/>
            </w:tcBorders>
            <w:shd w:val="clear" w:color="auto" w:fill="auto"/>
          </w:tcPr>
          <w:p w:rsidR="0096037B" w:rsidRPr="00227C94" w:rsidRDefault="0096037B" w:rsidP="0096037B">
            <w:pPr>
              <w:pStyle w:val="tblHeaderText"/>
            </w:pPr>
            <w:r w:rsidRPr="00227C94">
              <w:t>p-o-p</w:t>
            </w:r>
          </w:p>
        </w:tc>
        <w:tc>
          <w:tcPr>
            <w:tcW w:w="113" w:type="dxa"/>
            <w:tcBorders>
              <w:top w:val="nil"/>
              <w:left w:val="nil"/>
              <w:right w:val="nil"/>
            </w:tcBorders>
          </w:tcPr>
          <w:p w:rsidR="0096037B" w:rsidRPr="00227C94" w:rsidRDefault="0096037B" w:rsidP="0096037B">
            <w:pPr>
              <w:pStyle w:val="tblHeaderText"/>
            </w:pPr>
          </w:p>
        </w:tc>
        <w:tc>
          <w:tcPr>
            <w:tcW w:w="1417" w:type="dxa"/>
            <w:tcBorders>
              <w:top w:val="nil"/>
              <w:left w:val="nil"/>
              <w:bottom w:val="single" w:sz="6" w:space="0" w:color="auto"/>
              <w:right w:val="nil"/>
            </w:tcBorders>
            <w:shd w:val="clear" w:color="auto" w:fill="auto"/>
          </w:tcPr>
          <w:p w:rsidR="0096037B" w:rsidRPr="00227C94" w:rsidRDefault="0096037B" w:rsidP="0096037B">
            <w:pPr>
              <w:pStyle w:val="tblHeaderText"/>
            </w:pPr>
            <w:r w:rsidRPr="00227C94">
              <w:t>2011</w:t>
            </w:r>
          </w:p>
        </w:tc>
      </w:tr>
      <w:tr w:rsidR="0096037B" w:rsidRPr="00227C94" w:rsidTr="00A701F4">
        <w:trPr>
          <w:cantSplit/>
        </w:trPr>
        <w:tc>
          <w:tcPr>
            <w:tcW w:w="2928" w:type="dxa"/>
            <w:tcBorders>
              <w:top w:val="nil"/>
              <w:left w:val="nil"/>
              <w:bottom w:val="nil"/>
              <w:right w:val="nil"/>
            </w:tcBorders>
          </w:tcPr>
          <w:p w:rsidR="0096037B" w:rsidRPr="00227C94" w:rsidRDefault="0096037B" w:rsidP="0096037B">
            <w:pPr>
              <w:pStyle w:val="tblHeaderText"/>
              <w:jc w:val="left"/>
            </w:pPr>
          </w:p>
        </w:tc>
        <w:tc>
          <w:tcPr>
            <w:tcW w:w="1417" w:type="dxa"/>
            <w:tcBorders>
              <w:top w:val="single" w:sz="6" w:space="0" w:color="auto"/>
              <w:left w:val="nil"/>
              <w:bottom w:val="nil"/>
              <w:right w:val="nil"/>
            </w:tcBorders>
            <w:shd w:val="clear" w:color="auto" w:fill="auto"/>
          </w:tcPr>
          <w:p w:rsidR="0096037B" w:rsidRPr="00227C94" w:rsidRDefault="0096037B" w:rsidP="0096037B">
            <w:pPr>
              <w:pStyle w:val="tblHeaderText"/>
            </w:pPr>
          </w:p>
        </w:tc>
        <w:tc>
          <w:tcPr>
            <w:tcW w:w="113" w:type="dxa"/>
            <w:tcBorders>
              <w:top w:val="nil"/>
              <w:left w:val="nil"/>
              <w:bottom w:val="nil"/>
              <w:right w:val="nil"/>
            </w:tcBorders>
          </w:tcPr>
          <w:p w:rsidR="0096037B" w:rsidRPr="00227C94" w:rsidRDefault="0096037B" w:rsidP="0096037B">
            <w:pPr>
              <w:pStyle w:val="tblHeaderText"/>
            </w:pPr>
          </w:p>
        </w:tc>
        <w:tc>
          <w:tcPr>
            <w:tcW w:w="1417" w:type="dxa"/>
            <w:tcBorders>
              <w:top w:val="single" w:sz="6" w:space="0" w:color="auto"/>
              <w:left w:val="nil"/>
              <w:bottom w:val="nil"/>
              <w:right w:val="nil"/>
            </w:tcBorders>
            <w:shd w:val="clear" w:color="auto" w:fill="auto"/>
          </w:tcPr>
          <w:p w:rsidR="0096037B" w:rsidRPr="00227C94" w:rsidRDefault="0096037B" w:rsidP="0096037B">
            <w:pPr>
              <w:pStyle w:val="tblHeaderText"/>
            </w:pPr>
          </w:p>
        </w:tc>
        <w:tc>
          <w:tcPr>
            <w:tcW w:w="113" w:type="dxa"/>
            <w:tcBorders>
              <w:left w:val="nil"/>
              <w:bottom w:val="nil"/>
              <w:right w:val="nil"/>
            </w:tcBorders>
            <w:shd w:val="clear" w:color="auto" w:fill="auto"/>
          </w:tcPr>
          <w:p w:rsidR="0096037B" w:rsidRPr="00227C94" w:rsidRDefault="0096037B" w:rsidP="0096037B">
            <w:pPr>
              <w:pStyle w:val="tblHeaderText"/>
            </w:pPr>
          </w:p>
        </w:tc>
        <w:tc>
          <w:tcPr>
            <w:tcW w:w="1417" w:type="dxa"/>
            <w:tcBorders>
              <w:top w:val="single" w:sz="6" w:space="0" w:color="auto"/>
              <w:left w:val="nil"/>
              <w:bottom w:val="nil"/>
              <w:right w:val="nil"/>
            </w:tcBorders>
            <w:shd w:val="clear" w:color="auto" w:fill="auto"/>
          </w:tcPr>
          <w:p w:rsidR="0096037B" w:rsidRPr="00227C94" w:rsidRDefault="0096037B" w:rsidP="0096037B">
            <w:pPr>
              <w:pStyle w:val="tblHeaderText"/>
            </w:pPr>
          </w:p>
        </w:tc>
        <w:tc>
          <w:tcPr>
            <w:tcW w:w="113" w:type="dxa"/>
            <w:tcBorders>
              <w:left w:val="nil"/>
              <w:bottom w:val="nil"/>
              <w:right w:val="nil"/>
            </w:tcBorders>
            <w:shd w:val="clear" w:color="auto" w:fill="auto"/>
          </w:tcPr>
          <w:p w:rsidR="0096037B" w:rsidRPr="00227C94" w:rsidRDefault="0096037B" w:rsidP="0096037B">
            <w:pPr>
              <w:pStyle w:val="tblHeaderText"/>
            </w:pPr>
          </w:p>
        </w:tc>
        <w:tc>
          <w:tcPr>
            <w:tcW w:w="1417" w:type="dxa"/>
            <w:tcBorders>
              <w:top w:val="single" w:sz="6" w:space="0" w:color="auto"/>
              <w:left w:val="nil"/>
              <w:bottom w:val="nil"/>
              <w:right w:val="nil"/>
            </w:tcBorders>
            <w:shd w:val="clear" w:color="auto" w:fill="auto"/>
          </w:tcPr>
          <w:p w:rsidR="0096037B" w:rsidRPr="00227C94" w:rsidRDefault="0096037B" w:rsidP="0096037B">
            <w:pPr>
              <w:pStyle w:val="tblHeaderText"/>
            </w:pP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pPr>
            <w:r w:rsidRPr="00227C94">
              <w:t>Gold production (thousand ounces)</w:t>
            </w:r>
          </w:p>
        </w:tc>
        <w:tc>
          <w:tcPr>
            <w:tcW w:w="1417" w:type="dxa"/>
            <w:tcBorders>
              <w:top w:val="nil"/>
              <w:left w:val="nil"/>
              <w:bottom w:val="nil"/>
              <w:right w:val="nil"/>
            </w:tcBorders>
            <w:vAlign w:val="bottom"/>
          </w:tcPr>
          <w:p w:rsidR="0096037B" w:rsidRPr="00227C94" w:rsidRDefault="0096037B" w:rsidP="0096037B">
            <w:pPr>
              <w:pStyle w:val="tblNumber01"/>
            </w:pPr>
            <w:r w:rsidRPr="00227C94">
              <w:t>70</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55</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28</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117</w:t>
            </w: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rPr>
                <w:vertAlign w:val="superscript"/>
              </w:rPr>
            </w:pPr>
            <w:r w:rsidRPr="00227C94">
              <w:t>Gold sales</w:t>
            </w:r>
          </w:p>
        </w:tc>
        <w:tc>
          <w:tcPr>
            <w:tcW w:w="1417" w:type="dxa"/>
            <w:tcBorders>
              <w:top w:val="nil"/>
              <w:left w:val="nil"/>
              <w:bottom w:val="nil"/>
              <w:right w:val="nil"/>
            </w:tcBorders>
            <w:vAlign w:val="bottom"/>
          </w:tcPr>
          <w:p w:rsidR="0096037B" w:rsidRPr="00227C94" w:rsidRDefault="0096037B" w:rsidP="0096037B">
            <w:pPr>
              <w:pStyle w:val="tblNumber01"/>
            </w:pPr>
            <w:r w:rsidRPr="00227C94">
              <w:t>114,873</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78,662</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46</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184,735</w:t>
            </w: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pPr>
            <w:r w:rsidRPr="00227C94">
              <w:t>Gold sales (thousand ounces)</w:t>
            </w:r>
          </w:p>
        </w:tc>
        <w:tc>
          <w:tcPr>
            <w:tcW w:w="1417" w:type="dxa"/>
            <w:tcBorders>
              <w:top w:val="nil"/>
              <w:left w:val="nil"/>
              <w:bottom w:val="nil"/>
              <w:right w:val="nil"/>
            </w:tcBorders>
            <w:vAlign w:val="bottom"/>
          </w:tcPr>
          <w:p w:rsidR="0096037B" w:rsidRPr="00227C94" w:rsidRDefault="0096037B" w:rsidP="0096037B">
            <w:pPr>
              <w:pStyle w:val="tblNumber01"/>
            </w:pPr>
            <w:r w:rsidRPr="00227C94">
              <w:t>70</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55</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2E7579" w:rsidP="0096037B">
            <w:pPr>
              <w:pStyle w:val="tblNumber01"/>
              <w:rPr>
                <w:lang w:val="en-GB"/>
              </w:rPr>
            </w:pPr>
            <w:r w:rsidRPr="00227C94">
              <w:rPr>
                <w:lang w:val="en-GB"/>
              </w:rPr>
              <w:t>28</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117</w:t>
            </w: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pPr>
            <w:r w:rsidRPr="00227C94">
              <w:t>Segment profit</w:t>
            </w:r>
          </w:p>
        </w:tc>
        <w:tc>
          <w:tcPr>
            <w:tcW w:w="1417" w:type="dxa"/>
            <w:tcBorders>
              <w:top w:val="nil"/>
              <w:left w:val="nil"/>
              <w:bottom w:val="nil"/>
              <w:right w:val="nil"/>
            </w:tcBorders>
            <w:vAlign w:val="bottom"/>
          </w:tcPr>
          <w:p w:rsidR="0096037B" w:rsidRPr="00227C94" w:rsidRDefault="0096037B" w:rsidP="0096037B">
            <w:pPr>
              <w:pStyle w:val="tblNumber01"/>
            </w:pPr>
            <w:r w:rsidRPr="00227C94">
              <w:t>23,487</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0"/>
            </w:pPr>
            <w:r w:rsidRPr="00227C94">
              <w:t>(3,735)</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0"/>
            </w:pPr>
            <w:r w:rsidRPr="00227C94">
              <w:t>(729)</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13,797</w:t>
            </w: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pPr>
            <w:r w:rsidRPr="00227C94">
              <w:t>Segment profit margin (%)</w:t>
            </w:r>
          </w:p>
        </w:tc>
        <w:tc>
          <w:tcPr>
            <w:tcW w:w="1417" w:type="dxa"/>
            <w:tcBorders>
              <w:top w:val="nil"/>
              <w:left w:val="nil"/>
              <w:bottom w:val="nil"/>
              <w:right w:val="nil"/>
            </w:tcBorders>
            <w:vAlign w:val="bottom"/>
          </w:tcPr>
          <w:p w:rsidR="0096037B" w:rsidRPr="00227C94" w:rsidRDefault="0096037B" w:rsidP="0096037B">
            <w:pPr>
              <w:pStyle w:val="tblNumber01"/>
            </w:pPr>
            <w:r w:rsidRPr="00227C94">
              <w:t>20%</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Dash"/>
            </w:pPr>
            <w:r w:rsidRPr="00227C94">
              <w:t>-</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Dash"/>
            </w:pPr>
            <w:r w:rsidRPr="00227C94">
              <w:t>-</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7%</w:t>
            </w: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rPr>
                <w:lang w:val="en-US"/>
              </w:rPr>
            </w:pPr>
            <w:r w:rsidRPr="00227C94">
              <w:rPr>
                <w:lang w:val="en-US"/>
              </w:rPr>
              <w:t>TCC per ounce sold (USD/ounce)</w:t>
            </w:r>
          </w:p>
        </w:tc>
        <w:tc>
          <w:tcPr>
            <w:tcW w:w="1417" w:type="dxa"/>
            <w:tcBorders>
              <w:top w:val="nil"/>
              <w:left w:val="nil"/>
              <w:bottom w:val="nil"/>
              <w:right w:val="nil"/>
            </w:tcBorders>
            <w:vAlign w:val="bottom"/>
          </w:tcPr>
          <w:p w:rsidR="0096037B" w:rsidRPr="00227C94" w:rsidRDefault="0096037B" w:rsidP="0096037B">
            <w:pPr>
              <w:pStyle w:val="tblNumber01"/>
            </w:pPr>
            <w:r w:rsidRPr="00227C94">
              <w:t>967</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851</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14</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890</w:t>
            </w:r>
          </w:p>
        </w:tc>
      </w:tr>
    </w:tbl>
    <w:p w:rsidR="0096037B" w:rsidRPr="00227C94" w:rsidRDefault="0096037B" w:rsidP="0096037B">
      <w:pPr>
        <w:pStyle w:val="23"/>
        <w:rPr>
          <w:color w:val="auto"/>
          <w:sz w:val="18"/>
          <w:szCs w:val="18"/>
        </w:rPr>
      </w:pPr>
      <w:r w:rsidRPr="00227C94">
        <w:rPr>
          <w:color w:val="auto"/>
          <w:sz w:val="18"/>
          <w:szCs w:val="18"/>
        </w:rPr>
        <w:t>_______</w:t>
      </w:r>
      <w:r w:rsidRPr="00227C94">
        <w:rPr>
          <w:color w:val="auto"/>
          <w:sz w:val="18"/>
          <w:szCs w:val="18"/>
          <w:lang w:val="en-US"/>
        </w:rPr>
        <w:t>____________</w:t>
      </w:r>
      <w:r w:rsidRPr="00227C94">
        <w:rPr>
          <w:color w:val="auto"/>
          <w:sz w:val="18"/>
          <w:szCs w:val="18"/>
        </w:rPr>
        <w:t>_________</w:t>
      </w:r>
    </w:p>
    <w:p w:rsidR="00916675" w:rsidRPr="00227C94" w:rsidRDefault="00916675" w:rsidP="0096037B">
      <w:pPr>
        <w:pStyle w:val="23"/>
        <w:rPr>
          <w:color w:val="auto"/>
          <w:sz w:val="18"/>
          <w:szCs w:val="16"/>
        </w:rPr>
      </w:pPr>
      <w:r w:rsidRPr="00227C94">
        <w:rPr>
          <w:color w:val="auto"/>
          <w:sz w:val="18"/>
          <w:szCs w:val="16"/>
        </w:rPr>
        <w:t>Source: Management accounting data.</w:t>
      </w:r>
    </w:p>
    <w:p w:rsidR="00916675" w:rsidRPr="00227C94" w:rsidRDefault="00916675" w:rsidP="0096037B">
      <w:pPr>
        <w:pStyle w:val="23"/>
        <w:rPr>
          <w:color w:val="auto"/>
        </w:rPr>
      </w:pPr>
    </w:p>
    <w:p w:rsidR="00916675" w:rsidRPr="00227C94" w:rsidRDefault="00916675" w:rsidP="0096037B">
      <w:pPr>
        <w:pStyle w:val="23"/>
        <w:rPr>
          <w:color w:val="auto"/>
          <w:lang w:val="en-US"/>
        </w:rPr>
      </w:pPr>
      <w:r w:rsidRPr="00227C94">
        <w:rPr>
          <w:color w:val="auto"/>
          <w:lang w:val="en-US"/>
        </w:rPr>
        <w:t xml:space="preserve">The Kuranakh mine produced 70 thousand ounces of refined gold in the first six months of 2012, compared to 55 thousand ounces in H1 2011. The increase in production was a combination of several factors, including increase in ore mining, ore processing </w:t>
      </w:r>
      <w:r w:rsidR="002E7579" w:rsidRPr="00227C94">
        <w:rPr>
          <w:color w:val="auto"/>
          <w:lang w:val="en-US"/>
        </w:rPr>
        <w:t xml:space="preserve">and </w:t>
      </w:r>
      <w:r w:rsidRPr="00227C94">
        <w:rPr>
          <w:color w:val="auto"/>
          <w:lang w:val="en-US"/>
        </w:rPr>
        <w:t>recovery rate improvement.</w:t>
      </w:r>
    </w:p>
    <w:p w:rsidR="0096037B" w:rsidRPr="00227C94" w:rsidRDefault="0096037B" w:rsidP="0096037B">
      <w:pPr>
        <w:pStyle w:val="23"/>
        <w:rPr>
          <w:color w:val="auto"/>
          <w:lang w:val="en-US"/>
        </w:rPr>
      </w:pPr>
    </w:p>
    <w:p w:rsidR="00916675" w:rsidRPr="00227C94" w:rsidRDefault="00916675" w:rsidP="0096037B">
      <w:pPr>
        <w:pStyle w:val="23"/>
        <w:rPr>
          <w:color w:val="auto"/>
          <w:lang w:val="en-US"/>
        </w:rPr>
      </w:pPr>
      <w:r w:rsidRPr="00227C94">
        <w:rPr>
          <w:color w:val="auto"/>
          <w:spacing w:val="-2"/>
          <w:lang w:val="en-US"/>
        </w:rPr>
        <w:t>In H1 2012, gold sales of the Yakutia Kuranakh business unit amounted to USD114</w:t>
      </w:r>
      <w:proofErr w:type="gramStart"/>
      <w:r w:rsidRPr="00227C94">
        <w:rPr>
          <w:color w:val="auto"/>
          <w:spacing w:val="-2"/>
          <w:lang w:val="en-US"/>
        </w:rPr>
        <w:t>,873</w:t>
      </w:r>
      <w:proofErr w:type="gramEnd"/>
      <w:r w:rsidRPr="00227C94">
        <w:rPr>
          <w:color w:val="auto"/>
          <w:spacing w:val="-2"/>
          <w:lang w:val="en-US"/>
        </w:rPr>
        <w:t xml:space="preserve"> thousand, </w:t>
      </w:r>
      <w:r w:rsidRPr="00227C94">
        <w:rPr>
          <w:color w:val="auto"/>
          <w:lang w:val="en-US"/>
        </w:rPr>
        <w:t>compared to USD78,662 thousand in H1 2011. The 46% increase was the result of the growth in production and the realised gold price.</w:t>
      </w:r>
    </w:p>
    <w:p w:rsidR="0096037B" w:rsidRPr="00227C94" w:rsidRDefault="0096037B" w:rsidP="0096037B">
      <w:pPr>
        <w:pStyle w:val="23"/>
        <w:rPr>
          <w:color w:val="auto"/>
          <w:lang w:val="en-US"/>
        </w:rPr>
      </w:pPr>
    </w:p>
    <w:p w:rsidR="00916675" w:rsidRPr="00227C94" w:rsidRDefault="0096037B" w:rsidP="0096037B">
      <w:pPr>
        <w:pStyle w:val="23"/>
        <w:rPr>
          <w:color w:val="auto"/>
          <w:lang w:val="en-US"/>
        </w:rPr>
      </w:pPr>
      <w:r w:rsidRPr="00227C94">
        <w:rPr>
          <w:color w:val="auto"/>
          <w:lang w:val="en-US"/>
        </w:rPr>
        <w:br w:type="page"/>
      </w:r>
      <w:r w:rsidR="00916675" w:rsidRPr="00227C94">
        <w:rPr>
          <w:color w:val="auto"/>
          <w:lang w:val="en-US"/>
        </w:rPr>
        <w:lastRenderedPageBreak/>
        <w:t xml:space="preserve">Total cash costs per ounce of gold sold increased from USD851 in H1 2011 to USD967 in H1 </w:t>
      </w:r>
      <w:r w:rsidR="00916675" w:rsidRPr="00227C94">
        <w:rPr>
          <w:color w:val="auto"/>
          <w:spacing w:val="-2"/>
          <w:lang w:val="en-US"/>
        </w:rPr>
        <w:t xml:space="preserve">2012. In addition to the factors impacting on cash costs described in paragraph 1.3 “Cost of Gold Sales </w:t>
      </w:r>
      <w:r w:rsidR="00916675" w:rsidRPr="00227C94">
        <w:rPr>
          <w:color w:val="auto"/>
          <w:lang w:val="en-US"/>
        </w:rPr>
        <w:t xml:space="preserve">– Cash operating costs”, the increase in TCC per ounce sold at the Yakutia Kuranakh business unit was also attributable to the increased costs for metal-roll for operating activity (increased mainly due to the purchase price growth), and costs for tires (as a result of growth in price, as well as mileage increase following pits enlargement). Labour costs and material expenses have been the largest components of cost of gold sales at the Yakutia Kuranakh business </w:t>
      </w:r>
      <w:proofErr w:type="gramStart"/>
      <w:r w:rsidR="00916675" w:rsidRPr="00227C94">
        <w:rPr>
          <w:color w:val="auto"/>
          <w:lang w:val="en-US"/>
        </w:rPr>
        <w:t>unit,</w:t>
      </w:r>
      <w:proofErr w:type="gramEnd"/>
      <w:r w:rsidR="00916675" w:rsidRPr="00227C94">
        <w:rPr>
          <w:color w:val="auto"/>
          <w:lang w:val="en-US"/>
        </w:rPr>
        <w:t xml:space="preserve"> expenses on transport services (in many cases provided by third parties) are also traditionally high at the Kuranakh mine.</w:t>
      </w:r>
    </w:p>
    <w:p w:rsidR="0096037B" w:rsidRPr="00227C94" w:rsidRDefault="0096037B" w:rsidP="0065170A">
      <w:pPr>
        <w:pStyle w:val="23"/>
        <w:spacing w:line="180" w:lineRule="exact"/>
        <w:rPr>
          <w:color w:val="auto"/>
          <w:lang w:val="en-US"/>
        </w:rPr>
      </w:pPr>
    </w:p>
    <w:p w:rsidR="00916675" w:rsidRPr="00227C94" w:rsidRDefault="00916675" w:rsidP="0096037B">
      <w:pPr>
        <w:pStyle w:val="23"/>
        <w:rPr>
          <w:color w:val="auto"/>
          <w:lang w:val="en-US"/>
        </w:rPr>
      </w:pPr>
      <w:r w:rsidRPr="00227C94">
        <w:rPr>
          <w:color w:val="auto"/>
          <w:lang w:val="en-US"/>
        </w:rPr>
        <w:t>The segment profit of the Yakutia Kuranakh business unit improved in H1 2011 due to successful elimination of watering in the pits. However, the processing plant is the oldest in the Group’s portfolio, which results in high TCC level.</w:t>
      </w:r>
    </w:p>
    <w:p w:rsidR="0096037B" w:rsidRPr="00227C94" w:rsidRDefault="0096037B" w:rsidP="0065170A">
      <w:pPr>
        <w:pStyle w:val="23"/>
        <w:spacing w:line="180" w:lineRule="exact"/>
        <w:rPr>
          <w:color w:val="auto"/>
          <w:lang w:val="en-US"/>
        </w:rPr>
      </w:pPr>
    </w:p>
    <w:p w:rsidR="00916675" w:rsidRPr="00227C94" w:rsidRDefault="00916675" w:rsidP="0096037B">
      <w:pPr>
        <w:pStyle w:val="22"/>
        <w:rPr>
          <w:lang w:val="en-US"/>
        </w:rPr>
      </w:pPr>
      <w:bookmarkStart w:id="247" w:name="_Toc313004206"/>
      <w:bookmarkStart w:id="248" w:name="_Toc320887008"/>
      <w:r w:rsidRPr="00227C94">
        <w:rPr>
          <w:lang w:val="en-US"/>
        </w:rPr>
        <w:t>2.4 The Irkutsk ore business unit (the Verninskoye mine)</w:t>
      </w:r>
      <w:bookmarkEnd w:id="247"/>
      <w:bookmarkEnd w:id="248"/>
    </w:p>
    <w:p w:rsidR="0096037B" w:rsidRPr="00227C94" w:rsidRDefault="0096037B" w:rsidP="0065170A">
      <w:pPr>
        <w:pStyle w:val="23"/>
        <w:spacing w:line="180" w:lineRule="exact"/>
        <w:rPr>
          <w:color w:val="auto"/>
          <w:lang w:val="en-US"/>
        </w:rPr>
      </w:pPr>
    </w:p>
    <w:p w:rsidR="00916675" w:rsidRPr="00227C94" w:rsidRDefault="00916675" w:rsidP="0096037B">
      <w:pPr>
        <w:pStyle w:val="23"/>
        <w:rPr>
          <w:color w:val="auto"/>
          <w:lang w:val="en-US"/>
        </w:rPr>
      </w:pPr>
      <w:r w:rsidRPr="00227C94">
        <w:rPr>
          <w:color w:val="auto"/>
          <w:spacing w:val="-2"/>
          <w:lang w:val="en-US"/>
        </w:rPr>
        <w:t xml:space="preserve">The Irkutsk ore business unit conducts hard-rock mining operations at the Verninskoye mine. The table </w:t>
      </w:r>
      <w:r w:rsidRPr="00227C94">
        <w:rPr>
          <w:color w:val="auto"/>
          <w:lang w:val="en-US"/>
        </w:rPr>
        <w:t>below shows selected financial data for this unit for the 6 months ended 30 June 2012 and 2011, and for the year ended 31 December 2011.</w:t>
      </w:r>
    </w:p>
    <w:p w:rsidR="0096037B" w:rsidRPr="00227C94" w:rsidRDefault="0096037B" w:rsidP="0065170A">
      <w:pPr>
        <w:pStyle w:val="23"/>
        <w:spacing w:line="180" w:lineRule="exact"/>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2928"/>
        <w:gridCol w:w="1417"/>
        <w:gridCol w:w="113"/>
        <w:gridCol w:w="1417"/>
        <w:gridCol w:w="113"/>
        <w:gridCol w:w="1417"/>
        <w:gridCol w:w="113"/>
        <w:gridCol w:w="1417"/>
      </w:tblGrid>
      <w:tr w:rsidR="0096037B" w:rsidRPr="00227C94" w:rsidTr="00A701F4">
        <w:trPr>
          <w:cantSplit/>
        </w:trPr>
        <w:tc>
          <w:tcPr>
            <w:tcW w:w="2928" w:type="dxa"/>
            <w:tcBorders>
              <w:top w:val="nil"/>
              <w:left w:val="nil"/>
              <w:bottom w:val="nil"/>
              <w:right w:val="nil"/>
            </w:tcBorders>
            <w:vAlign w:val="bottom"/>
          </w:tcPr>
          <w:p w:rsidR="0096037B" w:rsidRPr="00227C94" w:rsidRDefault="0096037B" w:rsidP="0096037B">
            <w:pPr>
              <w:pStyle w:val="tblHeaderText"/>
              <w:jc w:val="left"/>
            </w:pPr>
            <w:r w:rsidRPr="00227C94">
              <w:t>USD’000,</w:t>
            </w:r>
          </w:p>
        </w:tc>
        <w:tc>
          <w:tcPr>
            <w:tcW w:w="2947" w:type="dxa"/>
            <w:gridSpan w:val="3"/>
            <w:tcBorders>
              <w:top w:val="nil"/>
              <w:left w:val="nil"/>
              <w:bottom w:val="single" w:sz="6" w:space="0" w:color="auto"/>
              <w:right w:val="nil"/>
            </w:tcBorders>
            <w:shd w:val="clear" w:color="auto" w:fill="auto"/>
            <w:vAlign w:val="bottom"/>
          </w:tcPr>
          <w:p w:rsidR="0096037B" w:rsidRPr="00227C94" w:rsidRDefault="0096037B" w:rsidP="0096037B">
            <w:pPr>
              <w:pStyle w:val="tblHeaderText"/>
            </w:pPr>
            <w:r w:rsidRPr="00227C94">
              <w:rPr>
                <w:bCs/>
              </w:rPr>
              <w:t>Six months ended 30 June</w:t>
            </w:r>
          </w:p>
        </w:tc>
        <w:tc>
          <w:tcPr>
            <w:tcW w:w="113" w:type="dxa"/>
            <w:tcBorders>
              <w:top w:val="nil"/>
              <w:left w:val="nil"/>
              <w:bottom w:val="nil"/>
              <w:right w:val="nil"/>
            </w:tcBorders>
          </w:tcPr>
          <w:p w:rsidR="0096037B" w:rsidRPr="00227C94" w:rsidRDefault="0096037B" w:rsidP="0096037B">
            <w:pPr>
              <w:pStyle w:val="tblHeaderText"/>
            </w:pPr>
          </w:p>
        </w:tc>
        <w:tc>
          <w:tcPr>
            <w:tcW w:w="1417" w:type="dxa"/>
            <w:tcBorders>
              <w:top w:val="nil"/>
              <w:left w:val="nil"/>
              <w:right w:val="nil"/>
            </w:tcBorders>
            <w:vAlign w:val="bottom"/>
          </w:tcPr>
          <w:p w:rsidR="003443ED" w:rsidRPr="00227C94" w:rsidRDefault="0096037B" w:rsidP="0096037B">
            <w:pPr>
              <w:pStyle w:val="tblHeaderText"/>
              <w:rPr>
                <w:lang w:val="en-US"/>
              </w:rPr>
            </w:pPr>
            <w:r w:rsidRPr="00227C94">
              <w:t xml:space="preserve">% </w:t>
            </w:r>
          </w:p>
          <w:p w:rsidR="0096037B" w:rsidRPr="00227C94" w:rsidRDefault="0096037B" w:rsidP="0096037B">
            <w:pPr>
              <w:pStyle w:val="tblHeaderText"/>
            </w:pPr>
            <w:r w:rsidRPr="00227C94">
              <w:t>change</w:t>
            </w:r>
          </w:p>
        </w:tc>
        <w:tc>
          <w:tcPr>
            <w:tcW w:w="113" w:type="dxa"/>
            <w:tcBorders>
              <w:top w:val="nil"/>
              <w:left w:val="nil"/>
              <w:bottom w:val="nil"/>
              <w:right w:val="nil"/>
            </w:tcBorders>
            <w:vAlign w:val="bottom"/>
          </w:tcPr>
          <w:p w:rsidR="0096037B" w:rsidRPr="00227C94" w:rsidRDefault="0096037B" w:rsidP="0096037B">
            <w:pPr>
              <w:pStyle w:val="tblHeaderText"/>
            </w:pPr>
          </w:p>
        </w:tc>
        <w:tc>
          <w:tcPr>
            <w:tcW w:w="1417" w:type="dxa"/>
            <w:tcBorders>
              <w:top w:val="nil"/>
              <w:left w:val="nil"/>
              <w:right w:val="nil"/>
            </w:tcBorders>
            <w:vAlign w:val="bottom"/>
          </w:tcPr>
          <w:p w:rsidR="0096037B" w:rsidRPr="00227C94" w:rsidRDefault="0096037B" w:rsidP="0096037B">
            <w:pPr>
              <w:pStyle w:val="tblHeaderText"/>
            </w:pPr>
            <w:r w:rsidRPr="00227C94">
              <w:t xml:space="preserve">Year ended </w:t>
            </w:r>
            <w:r w:rsidRPr="00227C94">
              <w:rPr>
                <w:lang w:val="en-US"/>
              </w:rPr>
              <w:br/>
            </w:r>
            <w:r w:rsidRPr="00227C94">
              <w:t>31 December</w:t>
            </w:r>
          </w:p>
        </w:tc>
      </w:tr>
      <w:tr w:rsidR="0096037B" w:rsidRPr="00227C94" w:rsidTr="00A701F4">
        <w:trPr>
          <w:cantSplit/>
        </w:trPr>
        <w:tc>
          <w:tcPr>
            <w:tcW w:w="2928" w:type="dxa"/>
            <w:tcBorders>
              <w:top w:val="nil"/>
              <w:left w:val="nil"/>
              <w:bottom w:val="nil"/>
              <w:right w:val="nil"/>
            </w:tcBorders>
          </w:tcPr>
          <w:p w:rsidR="0096037B" w:rsidRPr="00227C94" w:rsidRDefault="0096037B" w:rsidP="0096037B">
            <w:pPr>
              <w:pStyle w:val="tblHeaderText"/>
              <w:jc w:val="left"/>
            </w:pPr>
            <w:r w:rsidRPr="00227C94">
              <w:t>unless otherwise indicated</w:t>
            </w:r>
          </w:p>
        </w:tc>
        <w:tc>
          <w:tcPr>
            <w:tcW w:w="1417" w:type="dxa"/>
            <w:tcBorders>
              <w:top w:val="single" w:sz="6" w:space="0" w:color="auto"/>
              <w:left w:val="nil"/>
              <w:bottom w:val="single" w:sz="6" w:space="0" w:color="auto"/>
              <w:right w:val="nil"/>
            </w:tcBorders>
            <w:shd w:val="clear" w:color="auto" w:fill="auto"/>
          </w:tcPr>
          <w:p w:rsidR="0096037B" w:rsidRPr="00227C94" w:rsidRDefault="0096037B" w:rsidP="0096037B">
            <w:pPr>
              <w:pStyle w:val="tblHeaderText"/>
            </w:pPr>
            <w:r w:rsidRPr="00227C94">
              <w:t>2012</w:t>
            </w:r>
          </w:p>
        </w:tc>
        <w:tc>
          <w:tcPr>
            <w:tcW w:w="113" w:type="dxa"/>
            <w:tcBorders>
              <w:top w:val="single" w:sz="6" w:space="0" w:color="auto"/>
              <w:left w:val="nil"/>
              <w:bottom w:val="nil"/>
              <w:right w:val="nil"/>
            </w:tcBorders>
            <w:shd w:val="clear" w:color="auto" w:fill="auto"/>
          </w:tcPr>
          <w:p w:rsidR="0096037B" w:rsidRPr="00227C94" w:rsidRDefault="0096037B" w:rsidP="0096037B">
            <w:pPr>
              <w:pStyle w:val="tblHeaderText"/>
            </w:pPr>
          </w:p>
        </w:tc>
        <w:tc>
          <w:tcPr>
            <w:tcW w:w="1417" w:type="dxa"/>
            <w:tcBorders>
              <w:top w:val="single" w:sz="6" w:space="0" w:color="auto"/>
              <w:left w:val="nil"/>
              <w:bottom w:val="single" w:sz="6" w:space="0" w:color="auto"/>
              <w:right w:val="nil"/>
            </w:tcBorders>
            <w:shd w:val="clear" w:color="auto" w:fill="auto"/>
          </w:tcPr>
          <w:p w:rsidR="0096037B" w:rsidRPr="00227C94" w:rsidRDefault="0096037B" w:rsidP="0096037B">
            <w:pPr>
              <w:pStyle w:val="tblHeaderText"/>
            </w:pPr>
            <w:r w:rsidRPr="00227C94">
              <w:t>2011</w:t>
            </w:r>
          </w:p>
        </w:tc>
        <w:tc>
          <w:tcPr>
            <w:tcW w:w="113" w:type="dxa"/>
            <w:tcBorders>
              <w:top w:val="nil"/>
              <w:left w:val="nil"/>
              <w:right w:val="nil"/>
            </w:tcBorders>
          </w:tcPr>
          <w:p w:rsidR="0096037B" w:rsidRPr="00227C94" w:rsidRDefault="0096037B" w:rsidP="0096037B">
            <w:pPr>
              <w:pStyle w:val="tblHeaderText"/>
            </w:pPr>
          </w:p>
        </w:tc>
        <w:tc>
          <w:tcPr>
            <w:tcW w:w="1417" w:type="dxa"/>
            <w:tcBorders>
              <w:top w:val="nil"/>
              <w:left w:val="nil"/>
              <w:bottom w:val="single" w:sz="6" w:space="0" w:color="auto"/>
              <w:right w:val="nil"/>
            </w:tcBorders>
            <w:shd w:val="clear" w:color="auto" w:fill="auto"/>
          </w:tcPr>
          <w:p w:rsidR="0096037B" w:rsidRPr="00227C94" w:rsidRDefault="0096037B" w:rsidP="0096037B">
            <w:pPr>
              <w:pStyle w:val="tblHeaderText"/>
            </w:pPr>
            <w:r w:rsidRPr="00227C94">
              <w:t>p-o-p</w:t>
            </w:r>
          </w:p>
        </w:tc>
        <w:tc>
          <w:tcPr>
            <w:tcW w:w="113" w:type="dxa"/>
            <w:tcBorders>
              <w:top w:val="nil"/>
              <w:left w:val="nil"/>
              <w:right w:val="nil"/>
            </w:tcBorders>
          </w:tcPr>
          <w:p w:rsidR="0096037B" w:rsidRPr="00227C94" w:rsidRDefault="0096037B" w:rsidP="0096037B">
            <w:pPr>
              <w:pStyle w:val="tblHeaderText"/>
            </w:pPr>
          </w:p>
        </w:tc>
        <w:tc>
          <w:tcPr>
            <w:tcW w:w="1417" w:type="dxa"/>
            <w:tcBorders>
              <w:top w:val="nil"/>
              <w:left w:val="nil"/>
              <w:bottom w:val="single" w:sz="6" w:space="0" w:color="auto"/>
              <w:right w:val="nil"/>
            </w:tcBorders>
            <w:shd w:val="clear" w:color="auto" w:fill="auto"/>
          </w:tcPr>
          <w:p w:rsidR="0096037B" w:rsidRPr="00227C94" w:rsidRDefault="0096037B" w:rsidP="0096037B">
            <w:pPr>
              <w:pStyle w:val="tblHeaderText"/>
            </w:pPr>
            <w:r w:rsidRPr="00227C94">
              <w:t>2011</w:t>
            </w:r>
          </w:p>
        </w:tc>
      </w:tr>
      <w:tr w:rsidR="0096037B" w:rsidRPr="00227C94" w:rsidTr="00A701F4">
        <w:trPr>
          <w:cantSplit/>
          <w:trHeight w:hRule="exact" w:val="113"/>
        </w:trPr>
        <w:tc>
          <w:tcPr>
            <w:tcW w:w="2928" w:type="dxa"/>
            <w:tcBorders>
              <w:top w:val="nil"/>
              <w:left w:val="nil"/>
              <w:bottom w:val="nil"/>
              <w:right w:val="nil"/>
            </w:tcBorders>
          </w:tcPr>
          <w:p w:rsidR="0096037B" w:rsidRPr="00227C94" w:rsidRDefault="0096037B" w:rsidP="0096037B">
            <w:pPr>
              <w:pStyle w:val="tblHeaderText"/>
              <w:jc w:val="left"/>
            </w:pPr>
          </w:p>
        </w:tc>
        <w:tc>
          <w:tcPr>
            <w:tcW w:w="1417" w:type="dxa"/>
            <w:tcBorders>
              <w:top w:val="single" w:sz="6" w:space="0" w:color="auto"/>
              <w:left w:val="nil"/>
              <w:bottom w:val="nil"/>
              <w:right w:val="nil"/>
            </w:tcBorders>
            <w:shd w:val="clear" w:color="auto" w:fill="auto"/>
          </w:tcPr>
          <w:p w:rsidR="0096037B" w:rsidRPr="00227C94" w:rsidRDefault="0096037B" w:rsidP="0096037B">
            <w:pPr>
              <w:pStyle w:val="tblHeaderText"/>
            </w:pPr>
          </w:p>
        </w:tc>
        <w:tc>
          <w:tcPr>
            <w:tcW w:w="113" w:type="dxa"/>
            <w:tcBorders>
              <w:top w:val="nil"/>
              <w:left w:val="nil"/>
              <w:bottom w:val="nil"/>
              <w:right w:val="nil"/>
            </w:tcBorders>
          </w:tcPr>
          <w:p w:rsidR="0096037B" w:rsidRPr="00227C94" w:rsidRDefault="0096037B" w:rsidP="0096037B">
            <w:pPr>
              <w:pStyle w:val="tblHeaderText"/>
            </w:pPr>
          </w:p>
        </w:tc>
        <w:tc>
          <w:tcPr>
            <w:tcW w:w="1417" w:type="dxa"/>
            <w:tcBorders>
              <w:top w:val="single" w:sz="6" w:space="0" w:color="auto"/>
              <w:left w:val="nil"/>
              <w:bottom w:val="nil"/>
              <w:right w:val="nil"/>
            </w:tcBorders>
            <w:shd w:val="clear" w:color="auto" w:fill="auto"/>
          </w:tcPr>
          <w:p w:rsidR="0096037B" w:rsidRPr="00227C94" w:rsidRDefault="0096037B" w:rsidP="0096037B">
            <w:pPr>
              <w:pStyle w:val="tblHeaderText"/>
            </w:pPr>
          </w:p>
        </w:tc>
        <w:tc>
          <w:tcPr>
            <w:tcW w:w="113" w:type="dxa"/>
            <w:tcBorders>
              <w:left w:val="nil"/>
              <w:bottom w:val="nil"/>
              <w:right w:val="nil"/>
            </w:tcBorders>
            <w:shd w:val="clear" w:color="auto" w:fill="auto"/>
          </w:tcPr>
          <w:p w:rsidR="0096037B" w:rsidRPr="00227C94" w:rsidRDefault="0096037B" w:rsidP="0096037B">
            <w:pPr>
              <w:pStyle w:val="tblHeaderText"/>
            </w:pPr>
          </w:p>
        </w:tc>
        <w:tc>
          <w:tcPr>
            <w:tcW w:w="1417" w:type="dxa"/>
            <w:tcBorders>
              <w:top w:val="single" w:sz="6" w:space="0" w:color="auto"/>
              <w:left w:val="nil"/>
              <w:bottom w:val="nil"/>
              <w:right w:val="nil"/>
            </w:tcBorders>
            <w:shd w:val="clear" w:color="auto" w:fill="auto"/>
          </w:tcPr>
          <w:p w:rsidR="0096037B" w:rsidRPr="00227C94" w:rsidRDefault="0096037B" w:rsidP="0096037B">
            <w:pPr>
              <w:pStyle w:val="tblHeaderText"/>
            </w:pPr>
          </w:p>
        </w:tc>
        <w:tc>
          <w:tcPr>
            <w:tcW w:w="113" w:type="dxa"/>
            <w:tcBorders>
              <w:left w:val="nil"/>
              <w:bottom w:val="nil"/>
              <w:right w:val="nil"/>
            </w:tcBorders>
            <w:shd w:val="clear" w:color="auto" w:fill="auto"/>
          </w:tcPr>
          <w:p w:rsidR="0096037B" w:rsidRPr="00227C94" w:rsidRDefault="0096037B" w:rsidP="0096037B">
            <w:pPr>
              <w:pStyle w:val="tblHeaderText"/>
            </w:pPr>
          </w:p>
        </w:tc>
        <w:tc>
          <w:tcPr>
            <w:tcW w:w="1417" w:type="dxa"/>
            <w:tcBorders>
              <w:top w:val="single" w:sz="6" w:space="0" w:color="auto"/>
              <w:left w:val="nil"/>
              <w:bottom w:val="nil"/>
              <w:right w:val="nil"/>
            </w:tcBorders>
            <w:shd w:val="clear" w:color="auto" w:fill="auto"/>
          </w:tcPr>
          <w:p w:rsidR="0096037B" w:rsidRPr="00227C94" w:rsidRDefault="0096037B" w:rsidP="0096037B">
            <w:pPr>
              <w:pStyle w:val="tblHeaderText"/>
            </w:pP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pPr>
            <w:r w:rsidRPr="00227C94">
              <w:t>Gold production (thousand ounces)</w:t>
            </w:r>
          </w:p>
        </w:tc>
        <w:tc>
          <w:tcPr>
            <w:tcW w:w="1417" w:type="dxa"/>
            <w:tcBorders>
              <w:top w:val="nil"/>
              <w:left w:val="nil"/>
              <w:bottom w:val="nil"/>
              <w:right w:val="nil"/>
            </w:tcBorders>
            <w:vAlign w:val="bottom"/>
          </w:tcPr>
          <w:p w:rsidR="0096037B" w:rsidRPr="00227C94" w:rsidRDefault="0096037B" w:rsidP="0096037B">
            <w:pPr>
              <w:pStyle w:val="tblNumber01"/>
            </w:pPr>
            <w:r w:rsidRPr="00227C94">
              <w:t>18</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10</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81</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13</w:t>
            </w: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pPr>
            <w:r w:rsidRPr="00227C94">
              <w:t>Total sales</w:t>
            </w:r>
          </w:p>
        </w:tc>
        <w:tc>
          <w:tcPr>
            <w:tcW w:w="1417" w:type="dxa"/>
            <w:tcBorders>
              <w:top w:val="nil"/>
              <w:left w:val="nil"/>
              <w:bottom w:val="nil"/>
              <w:right w:val="nil"/>
            </w:tcBorders>
            <w:vAlign w:val="bottom"/>
          </w:tcPr>
          <w:p w:rsidR="0096037B" w:rsidRPr="00227C94" w:rsidRDefault="0096037B" w:rsidP="0096037B">
            <w:pPr>
              <w:pStyle w:val="tblNumber01"/>
            </w:pPr>
            <w:r w:rsidRPr="00227C94">
              <w:t>55,184</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25,022</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121</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46,802</w:t>
            </w: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rPr>
                <w:vertAlign w:val="superscript"/>
              </w:rPr>
            </w:pPr>
            <w:r w:rsidRPr="00227C94">
              <w:t>Gold sales</w:t>
            </w:r>
          </w:p>
        </w:tc>
        <w:tc>
          <w:tcPr>
            <w:tcW w:w="1417" w:type="dxa"/>
            <w:tcBorders>
              <w:top w:val="nil"/>
              <w:left w:val="nil"/>
              <w:bottom w:val="nil"/>
              <w:right w:val="nil"/>
            </w:tcBorders>
            <w:vAlign w:val="bottom"/>
          </w:tcPr>
          <w:p w:rsidR="0096037B" w:rsidRPr="00227C94" w:rsidRDefault="0096037B" w:rsidP="0096037B">
            <w:pPr>
              <w:pStyle w:val="tblNumber01"/>
            </w:pPr>
            <w:r w:rsidRPr="00227C94">
              <w:t>29,134</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3,590</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712</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3,497</w:t>
            </w: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pPr>
            <w:r w:rsidRPr="00227C94">
              <w:t>Gold sales (thousand ounces)</w:t>
            </w:r>
          </w:p>
        </w:tc>
        <w:tc>
          <w:tcPr>
            <w:tcW w:w="1417" w:type="dxa"/>
            <w:tcBorders>
              <w:top w:val="nil"/>
              <w:left w:val="nil"/>
              <w:bottom w:val="nil"/>
              <w:right w:val="nil"/>
            </w:tcBorders>
            <w:vAlign w:val="bottom"/>
          </w:tcPr>
          <w:p w:rsidR="0096037B" w:rsidRPr="00227C94" w:rsidRDefault="0096037B" w:rsidP="0096037B">
            <w:pPr>
              <w:pStyle w:val="tblNumber01"/>
            </w:pPr>
            <w:r w:rsidRPr="00227C94">
              <w:t>18</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3</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2E7579" w:rsidP="0096037B">
            <w:pPr>
              <w:pStyle w:val="tblNumber01"/>
            </w:pPr>
            <w:r w:rsidRPr="00227C94">
              <w:rPr>
                <w:lang w:val="en-GB"/>
              </w:rPr>
              <w:t>614</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3</w:t>
            </w: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pPr>
            <w:r w:rsidRPr="00227C94">
              <w:t>Segment profit/ (loss)</w:t>
            </w:r>
          </w:p>
        </w:tc>
        <w:tc>
          <w:tcPr>
            <w:tcW w:w="1417" w:type="dxa"/>
            <w:tcBorders>
              <w:top w:val="nil"/>
              <w:left w:val="nil"/>
              <w:bottom w:val="nil"/>
              <w:right w:val="nil"/>
            </w:tcBorders>
            <w:vAlign w:val="bottom"/>
          </w:tcPr>
          <w:p w:rsidR="0096037B" w:rsidRPr="00227C94" w:rsidRDefault="0096037B" w:rsidP="0096037B">
            <w:pPr>
              <w:pStyle w:val="tblNumber01"/>
            </w:pPr>
            <w:r w:rsidRPr="00227C94">
              <w:t>7,044</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1,797</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292</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0"/>
            </w:pPr>
            <w:r w:rsidRPr="00227C94">
              <w:t>(13,042)</w:t>
            </w: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pPr>
            <w:r w:rsidRPr="00227C94">
              <w:t>Segment profit margin (%)</w:t>
            </w:r>
          </w:p>
        </w:tc>
        <w:tc>
          <w:tcPr>
            <w:tcW w:w="1417" w:type="dxa"/>
            <w:tcBorders>
              <w:top w:val="nil"/>
              <w:left w:val="nil"/>
              <w:bottom w:val="nil"/>
              <w:right w:val="nil"/>
            </w:tcBorders>
            <w:vAlign w:val="bottom"/>
          </w:tcPr>
          <w:p w:rsidR="0096037B" w:rsidRPr="00227C94" w:rsidRDefault="0096037B" w:rsidP="0096037B">
            <w:pPr>
              <w:pStyle w:val="tblNumber01"/>
            </w:pPr>
            <w:r w:rsidRPr="00227C94">
              <w:t>13%</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7%</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Dash"/>
            </w:pPr>
            <w:r w:rsidRPr="00227C94">
              <w:t>-</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Dash"/>
            </w:pPr>
            <w:r w:rsidRPr="00227C94">
              <w:t>-</w:t>
            </w:r>
          </w:p>
        </w:tc>
      </w:tr>
      <w:tr w:rsidR="0096037B" w:rsidRPr="00227C94" w:rsidTr="0096037B">
        <w:trPr>
          <w:cantSplit/>
        </w:trPr>
        <w:tc>
          <w:tcPr>
            <w:tcW w:w="2928" w:type="dxa"/>
            <w:tcBorders>
              <w:top w:val="nil"/>
              <w:left w:val="nil"/>
              <w:bottom w:val="nil"/>
              <w:right w:val="nil"/>
            </w:tcBorders>
            <w:vAlign w:val="bottom"/>
          </w:tcPr>
          <w:p w:rsidR="0096037B" w:rsidRPr="00227C94" w:rsidRDefault="0096037B" w:rsidP="0096037B">
            <w:pPr>
              <w:pStyle w:val="tblText02"/>
              <w:rPr>
                <w:lang w:val="en-US"/>
              </w:rPr>
            </w:pPr>
            <w:r w:rsidRPr="00227C94">
              <w:rPr>
                <w:lang w:val="en-US"/>
              </w:rPr>
              <w:t>TCC per ounce sold (USD/ounce)</w:t>
            </w:r>
          </w:p>
        </w:tc>
        <w:tc>
          <w:tcPr>
            <w:tcW w:w="1417" w:type="dxa"/>
            <w:tcBorders>
              <w:top w:val="nil"/>
              <w:left w:val="nil"/>
              <w:bottom w:val="nil"/>
              <w:right w:val="nil"/>
            </w:tcBorders>
            <w:vAlign w:val="bottom"/>
          </w:tcPr>
          <w:p w:rsidR="0096037B" w:rsidRPr="00227C94" w:rsidRDefault="0096037B" w:rsidP="0096037B">
            <w:pPr>
              <w:pStyle w:val="tblNumber01"/>
            </w:pPr>
            <w:r w:rsidRPr="00227C94">
              <w:t>756</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1,045</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0"/>
            </w:pPr>
            <w:r w:rsidRPr="00227C94">
              <w:t>(28)</w:t>
            </w:r>
          </w:p>
        </w:tc>
        <w:tc>
          <w:tcPr>
            <w:tcW w:w="113" w:type="dxa"/>
            <w:tcBorders>
              <w:top w:val="nil"/>
              <w:left w:val="nil"/>
              <w:bottom w:val="nil"/>
              <w:right w:val="nil"/>
            </w:tcBorders>
            <w:vAlign w:val="bottom"/>
          </w:tcPr>
          <w:p w:rsidR="0096037B" w:rsidRPr="00227C94" w:rsidRDefault="0096037B" w:rsidP="0096037B">
            <w:pPr>
              <w:pStyle w:val="tblNumber01"/>
            </w:pPr>
          </w:p>
        </w:tc>
        <w:tc>
          <w:tcPr>
            <w:tcW w:w="1417" w:type="dxa"/>
            <w:tcBorders>
              <w:top w:val="nil"/>
              <w:left w:val="nil"/>
              <w:bottom w:val="nil"/>
              <w:right w:val="nil"/>
            </w:tcBorders>
            <w:vAlign w:val="bottom"/>
          </w:tcPr>
          <w:p w:rsidR="0096037B" w:rsidRPr="00227C94" w:rsidRDefault="0096037B" w:rsidP="0096037B">
            <w:pPr>
              <w:pStyle w:val="tblNumber01"/>
            </w:pPr>
            <w:r w:rsidRPr="00227C94">
              <w:t>841</w:t>
            </w:r>
          </w:p>
        </w:tc>
      </w:tr>
    </w:tbl>
    <w:p w:rsidR="0096037B" w:rsidRPr="00227C94" w:rsidRDefault="0096037B" w:rsidP="0096037B">
      <w:pPr>
        <w:pStyle w:val="23"/>
        <w:rPr>
          <w:color w:val="auto"/>
          <w:sz w:val="18"/>
          <w:szCs w:val="18"/>
        </w:rPr>
      </w:pPr>
      <w:r w:rsidRPr="00227C94">
        <w:rPr>
          <w:color w:val="auto"/>
          <w:sz w:val="18"/>
          <w:szCs w:val="18"/>
        </w:rPr>
        <w:t>_______</w:t>
      </w:r>
      <w:r w:rsidRPr="00227C94">
        <w:rPr>
          <w:color w:val="auto"/>
          <w:sz w:val="18"/>
          <w:szCs w:val="18"/>
          <w:lang w:val="en-US"/>
        </w:rPr>
        <w:t>____________</w:t>
      </w:r>
      <w:r w:rsidRPr="00227C94">
        <w:rPr>
          <w:color w:val="auto"/>
          <w:sz w:val="18"/>
          <w:szCs w:val="18"/>
        </w:rPr>
        <w:t>_________</w:t>
      </w:r>
    </w:p>
    <w:p w:rsidR="00916675" w:rsidRPr="00227C94" w:rsidRDefault="00916675" w:rsidP="0096037B">
      <w:pPr>
        <w:pStyle w:val="23"/>
        <w:rPr>
          <w:color w:val="auto"/>
          <w:sz w:val="18"/>
          <w:lang w:val="en-US"/>
        </w:rPr>
      </w:pPr>
      <w:r w:rsidRPr="00227C94">
        <w:rPr>
          <w:color w:val="auto"/>
          <w:sz w:val="18"/>
        </w:rPr>
        <w:t>Source: Management accounting data.</w:t>
      </w:r>
    </w:p>
    <w:p w:rsidR="0096037B" w:rsidRPr="00227C94" w:rsidRDefault="0096037B" w:rsidP="0065170A">
      <w:pPr>
        <w:pStyle w:val="23"/>
        <w:spacing w:line="180" w:lineRule="exact"/>
        <w:rPr>
          <w:color w:val="auto"/>
        </w:rPr>
      </w:pPr>
    </w:p>
    <w:p w:rsidR="00916675" w:rsidRPr="00227C94" w:rsidRDefault="00916675" w:rsidP="0065170A">
      <w:pPr>
        <w:pStyle w:val="23"/>
        <w:rPr>
          <w:color w:val="auto"/>
          <w:spacing w:val="-3"/>
          <w:lang w:val="en-US"/>
        </w:rPr>
      </w:pPr>
      <w:r w:rsidRPr="00227C94">
        <w:rPr>
          <w:color w:val="auto"/>
          <w:spacing w:val="-2"/>
          <w:lang w:val="en-US"/>
        </w:rPr>
        <w:t xml:space="preserve">In the reporting period, the Irkutsk ore business unit produced 18 thousand ounces of gold, compared </w:t>
      </w:r>
      <w:r w:rsidRPr="00227C94">
        <w:rPr>
          <w:color w:val="auto"/>
          <w:spacing w:val="-3"/>
          <w:lang w:val="en-US"/>
        </w:rPr>
        <w:t>to 10 thousand ounces produced in H1 2011. All gold was produced from the ore of the Verninskoye deposit. The Group mined 567 thousand tonnes of ore at the Verninskoye deposit, which was processed at Verninskoye plant (for 85%) and at Pervenets plant (for 15%).</w:t>
      </w:r>
    </w:p>
    <w:p w:rsidR="0065170A" w:rsidRPr="00227C94" w:rsidRDefault="0065170A" w:rsidP="0065170A">
      <w:pPr>
        <w:pStyle w:val="23"/>
        <w:spacing w:line="180" w:lineRule="exact"/>
        <w:rPr>
          <w:color w:val="auto"/>
          <w:lang w:val="en-US"/>
        </w:rPr>
      </w:pPr>
    </w:p>
    <w:p w:rsidR="00916675" w:rsidRPr="00227C94" w:rsidRDefault="00916675" w:rsidP="0065170A">
      <w:pPr>
        <w:pStyle w:val="23"/>
        <w:rPr>
          <w:color w:val="auto"/>
          <w:lang w:val="en-US"/>
        </w:rPr>
      </w:pPr>
      <w:r w:rsidRPr="00227C94">
        <w:rPr>
          <w:color w:val="auto"/>
          <w:lang w:val="en-US"/>
        </w:rPr>
        <w:t>Gold sales of the Irkutsk ore business unit in H1 2012 amounted to USD29</w:t>
      </w:r>
      <w:proofErr w:type="gramStart"/>
      <w:r w:rsidRPr="00227C94">
        <w:rPr>
          <w:color w:val="auto"/>
          <w:lang w:val="en-US"/>
        </w:rPr>
        <w:t>,134</w:t>
      </w:r>
      <w:proofErr w:type="gramEnd"/>
      <w:r w:rsidRPr="00227C94">
        <w:rPr>
          <w:color w:val="auto"/>
          <w:lang w:val="en-US"/>
        </w:rPr>
        <w:t xml:space="preserve"> thousand, compared to USD3,590 thousand in the same period of 2011. The increase in sales is a result of the Verninskoye mine commissioning in December 2011. Gold sales volumes in the reporting period amounted to 18 thousand ounces.</w:t>
      </w:r>
    </w:p>
    <w:p w:rsidR="0065170A" w:rsidRPr="00227C94" w:rsidRDefault="0065170A" w:rsidP="0065170A">
      <w:pPr>
        <w:pStyle w:val="23"/>
        <w:spacing w:line="180" w:lineRule="exact"/>
        <w:rPr>
          <w:color w:val="auto"/>
          <w:lang w:val="en-US"/>
        </w:rPr>
      </w:pPr>
    </w:p>
    <w:p w:rsidR="00916675" w:rsidRPr="00227C94" w:rsidRDefault="00916675" w:rsidP="0065170A">
      <w:pPr>
        <w:pStyle w:val="23"/>
        <w:rPr>
          <w:color w:val="auto"/>
          <w:lang w:val="en-US"/>
        </w:rPr>
      </w:pPr>
      <w:r w:rsidRPr="00227C94">
        <w:rPr>
          <w:color w:val="auto"/>
          <w:lang w:val="en-US"/>
        </w:rPr>
        <w:t xml:space="preserve">Other sales also increased as a result of re-sales of electricity purchased from third parties and sales of in-house generated electricity by Mamakan </w:t>
      </w:r>
      <w:r w:rsidR="002E7579" w:rsidRPr="00227C94">
        <w:rPr>
          <w:color w:val="auto"/>
          <w:lang w:val="en-US"/>
        </w:rPr>
        <w:t>hydro-power station</w:t>
      </w:r>
      <w:r w:rsidRPr="00227C94">
        <w:rPr>
          <w:color w:val="auto"/>
          <w:lang w:val="en-US"/>
        </w:rPr>
        <w:t>.</w:t>
      </w:r>
    </w:p>
    <w:p w:rsidR="0065170A" w:rsidRPr="00227C94" w:rsidRDefault="0065170A" w:rsidP="0065170A">
      <w:pPr>
        <w:pStyle w:val="23"/>
        <w:spacing w:line="180" w:lineRule="exact"/>
        <w:rPr>
          <w:color w:val="auto"/>
          <w:lang w:val="en-US"/>
        </w:rPr>
      </w:pPr>
    </w:p>
    <w:p w:rsidR="00916675" w:rsidRPr="00227C94" w:rsidRDefault="00916675" w:rsidP="0065170A">
      <w:pPr>
        <w:pStyle w:val="23"/>
        <w:rPr>
          <w:color w:val="auto"/>
          <w:lang w:val="en-US"/>
        </w:rPr>
      </w:pPr>
      <w:r w:rsidRPr="00227C94">
        <w:rPr>
          <w:color w:val="auto"/>
          <w:lang w:val="en-US"/>
        </w:rPr>
        <w:t>The profitability of the Irkutsk ore business unit improved in H1 2012, and was a result of the Verninskoye mine launch, suspension of subeconomic operations at the Zapadnoye mine, as well as improved profitability of power generation.</w:t>
      </w:r>
    </w:p>
    <w:p w:rsidR="0065170A" w:rsidRPr="00227C94" w:rsidRDefault="0065170A" w:rsidP="0065170A">
      <w:pPr>
        <w:pStyle w:val="23"/>
        <w:spacing w:line="180" w:lineRule="exact"/>
        <w:rPr>
          <w:color w:val="auto"/>
          <w:lang w:val="en-US"/>
        </w:rPr>
      </w:pPr>
    </w:p>
    <w:p w:rsidR="00916675" w:rsidRPr="00227C94" w:rsidRDefault="00916675" w:rsidP="0065170A">
      <w:pPr>
        <w:pStyle w:val="22"/>
        <w:rPr>
          <w:lang w:val="en-US"/>
        </w:rPr>
      </w:pPr>
      <w:bookmarkStart w:id="249" w:name="_Toc313004207"/>
      <w:bookmarkStart w:id="250" w:name="_Toc320887009"/>
      <w:r w:rsidRPr="00227C94">
        <w:t xml:space="preserve">2.5 The Kazakhstan </w:t>
      </w:r>
      <w:bookmarkEnd w:id="249"/>
      <w:r w:rsidRPr="00227C94">
        <w:t>business unit</w:t>
      </w:r>
      <w:bookmarkEnd w:id="250"/>
    </w:p>
    <w:p w:rsidR="0065170A" w:rsidRPr="00227C94" w:rsidRDefault="0065170A" w:rsidP="0065170A">
      <w:pPr>
        <w:pStyle w:val="23"/>
        <w:spacing w:line="180" w:lineRule="exact"/>
        <w:rPr>
          <w:color w:val="auto"/>
          <w:lang w:val="en-US"/>
        </w:rPr>
      </w:pPr>
    </w:p>
    <w:p w:rsidR="00916675" w:rsidRPr="00227C94" w:rsidRDefault="00916675" w:rsidP="0065170A">
      <w:pPr>
        <w:pStyle w:val="23"/>
        <w:rPr>
          <w:color w:val="auto"/>
          <w:spacing w:val="-2"/>
          <w:lang w:val="en-US"/>
        </w:rPr>
      </w:pPr>
      <w:r w:rsidRPr="00227C94">
        <w:rPr>
          <w:color w:val="auto"/>
          <w:spacing w:val="-2"/>
          <w:lang w:val="en-US"/>
        </w:rPr>
        <w:t>The Kazakhstan business unit comprises the</w:t>
      </w:r>
      <w:r w:rsidRPr="00227C94">
        <w:rPr>
          <w:bCs/>
          <w:color w:val="auto"/>
          <w:spacing w:val="-2"/>
          <w:lang w:val="en-US"/>
        </w:rPr>
        <w:t xml:space="preserve"> Aksu, Bestobe, Zholymbet and Akzhal mines</w:t>
      </w:r>
      <w:r w:rsidRPr="00227C94">
        <w:rPr>
          <w:color w:val="auto"/>
          <w:spacing w:val="-2"/>
          <w:lang w:val="en-US"/>
        </w:rPr>
        <w:t>. The Group acquired these operations through its acquisition of a controlling stake in KazakhGold Group Limited (now PGIL) in August 2009. The table below shows selected financial data for this unit for the 6 months ended 30 June 2012 and 2011, and for the year ended 31 December 2011.</w:t>
      </w:r>
    </w:p>
    <w:p w:rsidR="00916675" w:rsidRPr="00227C94" w:rsidRDefault="00916675" w:rsidP="0065170A">
      <w:pPr>
        <w:pStyle w:val="23"/>
        <w:spacing w:line="180" w:lineRule="exact"/>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2928"/>
        <w:gridCol w:w="1417"/>
        <w:gridCol w:w="113"/>
        <w:gridCol w:w="1417"/>
        <w:gridCol w:w="113"/>
        <w:gridCol w:w="1417"/>
        <w:gridCol w:w="113"/>
        <w:gridCol w:w="1417"/>
      </w:tblGrid>
      <w:tr w:rsidR="0065170A" w:rsidRPr="00227C94" w:rsidTr="00A701F4">
        <w:trPr>
          <w:cantSplit/>
        </w:trPr>
        <w:tc>
          <w:tcPr>
            <w:tcW w:w="2928" w:type="dxa"/>
            <w:tcBorders>
              <w:top w:val="nil"/>
              <w:left w:val="nil"/>
              <w:bottom w:val="nil"/>
              <w:right w:val="nil"/>
            </w:tcBorders>
            <w:vAlign w:val="bottom"/>
          </w:tcPr>
          <w:p w:rsidR="0065170A" w:rsidRPr="00227C94" w:rsidRDefault="0065170A" w:rsidP="0065170A">
            <w:pPr>
              <w:pStyle w:val="tblHeaderText"/>
              <w:jc w:val="left"/>
            </w:pPr>
            <w:r w:rsidRPr="00227C94">
              <w:t>USD’000,</w:t>
            </w:r>
          </w:p>
        </w:tc>
        <w:tc>
          <w:tcPr>
            <w:tcW w:w="2947" w:type="dxa"/>
            <w:gridSpan w:val="3"/>
            <w:tcBorders>
              <w:top w:val="nil"/>
              <w:left w:val="nil"/>
              <w:bottom w:val="single" w:sz="6" w:space="0" w:color="auto"/>
              <w:right w:val="nil"/>
            </w:tcBorders>
            <w:shd w:val="clear" w:color="auto" w:fill="auto"/>
            <w:vAlign w:val="bottom"/>
          </w:tcPr>
          <w:p w:rsidR="0065170A" w:rsidRPr="00227C94" w:rsidRDefault="0065170A" w:rsidP="0065170A">
            <w:pPr>
              <w:pStyle w:val="tblHeaderText"/>
            </w:pPr>
            <w:r w:rsidRPr="00227C94">
              <w:rPr>
                <w:bCs/>
              </w:rPr>
              <w:t>Six months ended 30 June</w:t>
            </w:r>
          </w:p>
        </w:tc>
        <w:tc>
          <w:tcPr>
            <w:tcW w:w="113" w:type="dxa"/>
            <w:tcBorders>
              <w:top w:val="nil"/>
              <w:left w:val="nil"/>
              <w:bottom w:val="nil"/>
              <w:right w:val="nil"/>
            </w:tcBorders>
            <w:vAlign w:val="bottom"/>
          </w:tcPr>
          <w:p w:rsidR="0065170A" w:rsidRPr="00227C94" w:rsidRDefault="0065170A" w:rsidP="0065170A">
            <w:pPr>
              <w:pStyle w:val="tblHeaderText"/>
            </w:pPr>
          </w:p>
        </w:tc>
        <w:tc>
          <w:tcPr>
            <w:tcW w:w="1417" w:type="dxa"/>
            <w:tcBorders>
              <w:top w:val="nil"/>
              <w:left w:val="nil"/>
              <w:right w:val="nil"/>
            </w:tcBorders>
            <w:vAlign w:val="bottom"/>
          </w:tcPr>
          <w:p w:rsidR="003443ED" w:rsidRPr="00227C94" w:rsidRDefault="0065170A" w:rsidP="0065170A">
            <w:pPr>
              <w:pStyle w:val="tblHeaderText"/>
              <w:rPr>
                <w:lang w:val="en-US"/>
              </w:rPr>
            </w:pPr>
            <w:r w:rsidRPr="00227C94">
              <w:t xml:space="preserve">% </w:t>
            </w:r>
          </w:p>
          <w:p w:rsidR="0065170A" w:rsidRPr="00227C94" w:rsidRDefault="0065170A" w:rsidP="0065170A">
            <w:pPr>
              <w:pStyle w:val="tblHeaderText"/>
            </w:pPr>
            <w:r w:rsidRPr="00227C94">
              <w:t>change</w:t>
            </w:r>
          </w:p>
        </w:tc>
        <w:tc>
          <w:tcPr>
            <w:tcW w:w="113" w:type="dxa"/>
            <w:tcBorders>
              <w:top w:val="nil"/>
              <w:left w:val="nil"/>
              <w:bottom w:val="nil"/>
              <w:right w:val="nil"/>
            </w:tcBorders>
            <w:vAlign w:val="bottom"/>
          </w:tcPr>
          <w:p w:rsidR="0065170A" w:rsidRPr="00227C94" w:rsidRDefault="0065170A" w:rsidP="0065170A">
            <w:pPr>
              <w:pStyle w:val="tblHeaderText"/>
            </w:pPr>
          </w:p>
        </w:tc>
        <w:tc>
          <w:tcPr>
            <w:tcW w:w="1417" w:type="dxa"/>
            <w:tcBorders>
              <w:top w:val="nil"/>
              <w:left w:val="nil"/>
              <w:right w:val="nil"/>
            </w:tcBorders>
            <w:vAlign w:val="bottom"/>
          </w:tcPr>
          <w:p w:rsidR="0065170A" w:rsidRPr="00227C94" w:rsidRDefault="0065170A" w:rsidP="0065170A">
            <w:pPr>
              <w:pStyle w:val="tblHeaderText"/>
            </w:pPr>
            <w:r w:rsidRPr="00227C94">
              <w:t xml:space="preserve">Year ended </w:t>
            </w:r>
            <w:r w:rsidRPr="00227C94">
              <w:rPr>
                <w:lang w:val="en-US"/>
              </w:rPr>
              <w:br/>
            </w:r>
            <w:r w:rsidRPr="00227C94">
              <w:t>31 December</w:t>
            </w:r>
          </w:p>
        </w:tc>
      </w:tr>
      <w:tr w:rsidR="0065170A" w:rsidRPr="00227C94" w:rsidTr="00A701F4">
        <w:trPr>
          <w:cantSplit/>
        </w:trPr>
        <w:tc>
          <w:tcPr>
            <w:tcW w:w="2928" w:type="dxa"/>
            <w:tcBorders>
              <w:top w:val="nil"/>
              <w:left w:val="nil"/>
              <w:bottom w:val="nil"/>
              <w:right w:val="nil"/>
            </w:tcBorders>
          </w:tcPr>
          <w:p w:rsidR="0065170A" w:rsidRPr="00227C94" w:rsidRDefault="0065170A" w:rsidP="0065170A">
            <w:pPr>
              <w:pStyle w:val="tblHeaderText"/>
              <w:jc w:val="left"/>
            </w:pPr>
            <w:r w:rsidRPr="00227C94">
              <w:t>unless otherwise indicated</w:t>
            </w:r>
          </w:p>
        </w:tc>
        <w:tc>
          <w:tcPr>
            <w:tcW w:w="1417" w:type="dxa"/>
            <w:tcBorders>
              <w:top w:val="single" w:sz="6" w:space="0" w:color="auto"/>
              <w:left w:val="nil"/>
              <w:bottom w:val="single" w:sz="6" w:space="0" w:color="auto"/>
              <w:right w:val="nil"/>
            </w:tcBorders>
            <w:shd w:val="clear" w:color="auto" w:fill="auto"/>
          </w:tcPr>
          <w:p w:rsidR="0065170A" w:rsidRPr="00227C94" w:rsidRDefault="0065170A" w:rsidP="00690257">
            <w:pPr>
              <w:pStyle w:val="tblHeaderText"/>
            </w:pPr>
            <w:r w:rsidRPr="00227C94">
              <w:t>2012</w:t>
            </w:r>
          </w:p>
        </w:tc>
        <w:tc>
          <w:tcPr>
            <w:tcW w:w="113" w:type="dxa"/>
            <w:tcBorders>
              <w:top w:val="single" w:sz="6" w:space="0" w:color="auto"/>
              <w:left w:val="nil"/>
              <w:bottom w:val="nil"/>
              <w:right w:val="nil"/>
            </w:tcBorders>
            <w:shd w:val="clear" w:color="auto" w:fill="auto"/>
          </w:tcPr>
          <w:p w:rsidR="0065170A" w:rsidRPr="00227C94" w:rsidRDefault="0065170A" w:rsidP="00690257">
            <w:pPr>
              <w:pStyle w:val="tblHeaderText"/>
            </w:pPr>
          </w:p>
        </w:tc>
        <w:tc>
          <w:tcPr>
            <w:tcW w:w="1417" w:type="dxa"/>
            <w:tcBorders>
              <w:top w:val="single" w:sz="6" w:space="0" w:color="auto"/>
              <w:left w:val="nil"/>
              <w:bottom w:val="single" w:sz="6" w:space="0" w:color="auto"/>
              <w:right w:val="nil"/>
            </w:tcBorders>
            <w:shd w:val="clear" w:color="auto" w:fill="auto"/>
          </w:tcPr>
          <w:p w:rsidR="0065170A" w:rsidRPr="00227C94" w:rsidRDefault="0065170A" w:rsidP="00690257">
            <w:pPr>
              <w:pStyle w:val="tblHeaderText"/>
            </w:pPr>
            <w:r w:rsidRPr="00227C94">
              <w:t>2011</w:t>
            </w:r>
          </w:p>
        </w:tc>
        <w:tc>
          <w:tcPr>
            <w:tcW w:w="113" w:type="dxa"/>
            <w:tcBorders>
              <w:top w:val="nil"/>
              <w:left w:val="nil"/>
              <w:right w:val="nil"/>
            </w:tcBorders>
          </w:tcPr>
          <w:p w:rsidR="0065170A" w:rsidRPr="00227C94" w:rsidRDefault="0065170A" w:rsidP="00690257">
            <w:pPr>
              <w:pStyle w:val="tblHeaderText"/>
            </w:pPr>
          </w:p>
        </w:tc>
        <w:tc>
          <w:tcPr>
            <w:tcW w:w="1417" w:type="dxa"/>
            <w:tcBorders>
              <w:top w:val="nil"/>
              <w:left w:val="nil"/>
              <w:bottom w:val="single" w:sz="6" w:space="0" w:color="auto"/>
              <w:right w:val="nil"/>
            </w:tcBorders>
            <w:shd w:val="clear" w:color="auto" w:fill="auto"/>
          </w:tcPr>
          <w:p w:rsidR="0065170A" w:rsidRPr="00227C94" w:rsidRDefault="0065170A" w:rsidP="00690257">
            <w:pPr>
              <w:pStyle w:val="tblHeaderText"/>
            </w:pPr>
            <w:r w:rsidRPr="00227C94">
              <w:t>p-o-p</w:t>
            </w:r>
          </w:p>
        </w:tc>
        <w:tc>
          <w:tcPr>
            <w:tcW w:w="113" w:type="dxa"/>
            <w:tcBorders>
              <w:top w:val="nil"/>
              <w:left w:val="nil"/>
              <w:right w:val="nil"/>
            </w:tcBorders>
          </w:tcPr>
          <w:p w:rsidR="0065170A" w:rsidRPr="00227C94" w:rsidRDefault="0065170A" w:rsidP="00690257">
            <w:pPr>
              <w:pStyle w:val="tblHeaderText"/>
            </w:pPr>
          </w:p>
        </w:tc>
        <w:tc>
          <w:tcPr>
            <w:tcW w:w="1417" w:type="dxa"/>
            <w:tcBorders>
              <w:top w:val="nil"/>
              <w:left w:val="nil"/>
              <w:bottom w:val="single" w:sz="6" w:space="0" w:color="auto"/>
              <w:right w:val="nil"/>
            </w:tcBorders>
            <w:shd w:val="clear" w:color="auto" w:fill="auto"/>
          </w:tcPr>
          <w:p w:rsidR="0065170A" w:rsidRPr="00227C94" w:rsidRDefault="0065170A" w:rsidP="00690257">
            <w:pPr>
              <w:pStyle w:val="tblHeaderText"/>
            </w:pPr>
            <w:r w:rsidRPr="00227C94">
              <w:t>2011</w:t>
            </w:r>
          </w:p>
        </w:tc>
      </w:tr>
      <w:tr w:rsidR="0065170A" w:rsidRPr="00227C94" w:rsidTr="00A701F4">
        <w:trPr>
          <w:cantSplit/>
          <w:trHeight w:hRule="exact" w:val="113"/>
        </w:trPr>
        <w:tc>
          <w:tcPr>
            <w:tcW w:w="2928" w:type="dxa"/>
            <w:tcBorders>
              <w:top w:val="nil"/>
              <w:left w:val="nil"/>
              <w:bottom w:val="nil"/>
              <w:right w:val="nil"/>
            </w:tcBorders>
          </w:tcPr>
          <w:p w:rsidR="0065170A" w:rsidRPr="00227C94" w:rsidRDefault="0065170A" w:rsidP="0065170A">
            <w:pPr>
              <w:pStyle w:val="tblHeaderText"/>
              <w:jc w:val="left"/>
            </w:pPr>
          </w:p>
        </w:tc>
        <w:tc>
          <w:tcPr>
            <w:tcW w:w="1417" w:type="dxa"/>
            <w:tcBorders>
              <w:top w:val="single" w:sz="6" w:space="0" w:color="auto"/>
              <w:left w:val="nil"/>
              <w:bottom w:val="nil"/>
              <w:right w:val="nil"/>
            </w:tcBorders>
            <w:shd w:val="clear" w:color="auto" w:fill="auto"/>
          </w:tcPr>
          <w:p w:rsidR="0065170A" w:rsidRPr="00227C94" w:rsidRDefault="0065170A" w:rsidP="0065170A">
            <w:pPr>
              <w:pStyle w:val="tblHeaderText"/>
            </w:pPr>
          </w:p>
        </w:tc>
        <w:tc>
          <w:tcPr>
            <w:tcW w:w="113" w:type="dxa"/>
            <w:tcBorders>
              <w:top w:val="nil"/>
              <w:left w:val="nil"/>
              <w:bottom w:val="nil"/>
              <w:right w:val="nil"/>
            </w:tcBorders>
          </w:tcPr>
          <w:p w:rsidR="0065170A" w:rsidRPr="00227C94" w:rsidRDefault="0065170A" w:rsidP="0065170A">
            <w:pPr>
              <w:pStyle w:val="tblHeaderText"/>
            </w:pPr>
          </w:p>
        </w:tc>
        <w:tc>
          <w:tcPr>
            <w:tcW w:w="1417" w:type="dxa"/>
            <w:tcBorders>
              <w:top w:val="single" w:sz="6" w:space="0" w:color="auto"/>
              <w:left w:val="nil"/>
              <w:bottom w:val="nil"/>
              <w:right w:val="nil"/>
            </w:tcBorders>
            <w:shd w:val="clear" w:color="auto" w:fill="auto"/>
          </w:tcPr>
          <w:p w:rsidR="0065170A" w:rsidRPr="00227C94" w:rsidRDefault="0065170A" w:rsidP="0065170A">
            <w:pPr>
              <w:pStyle w:val="tblHeaderText"/>
            </w:pPr>
          </w:p>
        </w:tc>
        <w:tc>
          <w:tcPr>
            <w:tcW w:w="113" w:type="dxa"/>
            <w:tcBorders>
              <w:left w:val="nil"/>
              <w:bottom w:val="nil"/>
              <w:right w:val="nil"/>
            </w:tcBorders>
            <w:shd w:val="clear" w:color="auto" w:fill="auto"/>
          </w:tcPr>
          <w:p w:rsidR="0065170A" w:rsidRPr="00227C94" w:rsidRDefault="0065170A" w:rsidP="0065170A">
            <w:pPr>
              <w:pStyle w:val="tblHeaderText"/>
            </w:pPr>
          </w:p>
        </w:tc>
        <w:tc>
          <w:tcPr>
            <w:tcW w:w="1417" w:type="dxa"/>
            <w:tcBorders>
              <w:top w:val="single" w:sz="6" w:space="0" w:color="auto"/>
              <w:left w:val="nil"/>
              <w:bottom w:val="nil"/>
              <w:right w:val="nil"/>
            </w:tcBorders>
            <w:shd w:val="clear" w:color="auto" w:fill="auto"/>
          </w:tcPr>
          <w:p w:rsidR="0065170A" w:rsidRPr="00227C94" w:rsidRDefault="0065170A" w:rsidP="0065170A">
            <w:pPr>
              <w:pStyle w:val="tblHeaderText"/>
            </w:pPr>
          </w:p>
        </w:tc>
        <w:tc>
          <w:tcPr>
            <w:tcW w:w="113" w:type="dxa"/>
            <w:tcBorders>
              <w:left w:val="nil"/>
              <w:bottom w:val="nil"/>
              <w:right w:val="nil"/>
            </w:tcBorders>
            <w:shd w:val="clear" w:color="auto" w:fill="auto"/>
          </w:tcPr>
          <w:p w:rsidR="0065170A" w:rsidRPr="00227C94" w:rsidRDefault="0065170A" w:rsidP="0065170A">
            <w:pPr>
              <w:pStyle w:val="tblHeaderText"/>
            </w:pPr>
          </w:p>
        </w:tc>
        <w:tc>
          <w:tcPr>
            <w:tcW w:w="1417" w:type="dxa"/>
            <w:tcBorders>
              <w:top w:val="single" w:sz="6" w:space="0" w:color="auto"/>
              <w:left w:val="nil"/>
              <w:bottom w:val="nil"/>
              <w:right w:val="nil"/>
            </w:tcBorders>
            <w:shd w:val="clear" w:color="auto" w:fill="auto"/>
          </w:tcPr>
          <w:p w:rsidR="0065170A" w:rsidRPr="00227C94" w:rsidRDefault="0065170A" w:rsidP="0065170A">
            <w:pPr>
              <w:pStyle w:val="tblHeaderText"/>
            </w:pPr>
          </w:p>
        </w:tc>
      </w:tr>
      <w:tr w:rsidR="0065170A" w:rsidRPr="00227C94" w:rsidTr="0065170A">
        <w:trPr>
          <w:cantSplit/>
        </w:trPr>
        <w:tc>
          <w:tcPr>
            <w:tcW w:w="2928" w:type="dxa"/>
            <w:tcBorders>
              <w:top w:val="nil"/>
              <w:left w:val="nil"/>
              <w:bottom w:val="nil"/>
              <w:right w:val="nil"/>
            </w:tcBorders>
            <w:vAlign w:val="bottom"/>
          </w:tcPr>
          <w:p w:rsidR="0065170A" w:rsidRPr="00227C94" w:rsidRDefault="0065170A" w:rsidP="0065170A">
            <w:pPr>
              <w:pStyle w:val="tblText02"/>
            </w:pPr>
            <w:r w:rsidRPr="00227C94">
              <w:t>Gold production (thousand ounces)</w:t>
            </w:r>
          </w:p>
        </w:tc>
        <w:tc>
          <w:tcPr>
            <w:tcW w:w="1417" w:type="dxa"/>
            <w:tcBorders>
              <w:top w:val="nil"/>
              <w:left w:val="nil"/>
              <w:bottom w:val="nil"/>
              <w:right w:val="nil"/>
            </w:tcBorders>
            <w:vAlign w:val="bottom"/>
          </w:tcPr>
          <w:p w:rsidR="0065170A" w:rsidRPr="00227C94" w:rsidRDefault="0065170A" w:rsidP="0065170A">
            <w:pPr>
              <w:pStyle w:val="tblNumber01"/>
            </w:pPr>
            <w:r w:rsidRPr="00227C94">
              <w:t>51</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57</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(10)</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117</w:t>
            </w:r>
          </w:p>
        </w:tc>
      </w:tr>
      <w:tr w:rsidR="0065170A" w:rsidRPr="00227C94" w:rsidTr="0065170A">
        <w:trPr>
          <w:cantSplit/>
        </w:trPr>
        <w:tc>
          <w:tcPr>
            <w:tcW w:w="2928" w:type="dxa"/>
            <w:tcBorders>
              <w:top w:val="nil"/>
              <w:left w:val="nil"/>
              <w:bottom w:val="nil"/>
              <w:right w:val="nil"/>
            </w:tcBorders>
            <w:vAlign w:val="bottom"/>
          </w:tcPr>
          <w:p w:rsidR="0065170A" w:rsidRPr="00227C94" w:rsidRDefault="0065170A" w:rsidP="0065170A">
            <w:pPr>
              <w:pStyle w:val="tblText02"/>
            </w:pPr>
            <w:r w:rsidRPr="00227C94">
              <w:t>Total sales</w:t>
            </w:r>
          </w:p>
        </w:tc>
        <w:tc>
          <w:tcPr>
            <w:tcW w:w="1417" w:type="dxa"/>
            <w:tcBorders>
              <w:top w:val="nil"/>
              <w:left w:val="nil"/>
              <w:bottom w:val="nil"/>
              <w:right w:val="nil"/>
            </w:tcBorders>
            <w:vAlign w:val="bottom"/>
          </w:tcPr>
          <w:p w:rsidR="0065170A" w:rsidRPr="00227C94" w:rsidRDefault="0065170A" w:rsidP="0065170A">
            <w:pPr>
              <w:pStyle w:val="tblNumber01"/>
            </w:pPr>
            <w:r w:rsidRPr="00227C94">
              <w:t>91,883</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83,863</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10</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162,538</w:t>
            </w:r>
          </w:p>
        </w:tc>
      </w:tr>
      <w:tr w:rsidR="0065170A" w:rsidRPr="00227C94" w:rsidTr="0065170A">
        <w:trPr>
          <w:cantSplit/>
        </w:trPr>
        <w:tc>
          <w:tcPr>
            <w:tcW w:w="2928" w:type="dxa"/>
            <w:tcBorders>
              <w:top w:val="nil"/>
              <w:left w:val="nil"/>
              <w:bottom w:val="nil"/>
              <w:right w:val="nil"/>
            </w:tcBorders>
            <w:vAlign w:val="bottom"/>
          </w:tcPr>
          <w:p w:rsidR="0065170A" w:rsidRPr="00227C94" w:rsidRDefault="0065170A" w:rsidP="0065170A">
            <w:pPr>
              <w:pStyle w:val="tblText02"/>
              <w:rPr>
                <w:vertAlign w:val="superscript"/>
              </w:rPr>
            </w:pPr>
            <w:r w:rsidRPr="00227C94">
              <w:t>Gold sales</w:t>
            </w:r>
          </w:p>
        </w:tc>
        <w:tc>
          <w:tcPr>
            <w:tcW w:w="1417" w:type="dxa"/>
            <w:tcBorders>
              <w:top w:val="nil"/>
              <w:left w:val="nil"/>
              <w:bottom w:val="nil"/>
              <w:right w:val="nil"/>
            </w:tcBorders>
            <w:vAlign w:val="bottom"/>
          </w:tcPr>
          <w:p w:rsidR="0065170A" w:rsidRPr="00227C94" w:rsidRDefault="0065170A" w:rsidP="0065170A">
            <w:pPr>
              <w:pStyle w:val="tblNumber01"/>
            </w:pPr>
            <w:r w:rsidRPr="00227C94">
              <w:t>90,992</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83,286</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9</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160,825</w:t>
            </w:r>
          </w:p>
        </w:tc>
      </w:tr>
      <w:tr w:rsidR="0065170A" w:rsidRPr="00227C94" w:rsidTr="0065170A">
        <w:trPr>
          <w:cantSplit/>
        </w:trPr>
        <w:tc>
          <w:tcPr>
            <w:tcW w:w="2928" w:type="dxa"/>
            <w:tcBorders>
              <w:top w:val="nil"/>
              <w:left w:val="nil"/>
              <w:bottom w:val="nil"/>
              <w:right w:val="nil"/>
            </w:tcBorders>
            <w:vAlign w:val="bottom"/>
          </w:tcPr>
          <w:p w:rsidR="0065170A" w:rsidRPr="00227C94" w:rsidRDefault="0065170A" w:rsidP="0065170A">
            <w:pPr>
              <w:pStyle w:val="tblText02"/>
            </w:pPr>
            <w:r w:rsidRPr="00227C94">
              <w:t>Gold sales (thousand ounces)</w:t>
            </w:r>
          </w:p>
        </w:tc>
        <w:tc>
          <w:tcPr>
            <w:tcW w:w="1417" w:type="dxa"/>
            <w:tcBorders>
              <w:top w:val="nil"/>
              <w:left w:val="nil"/>
              <w:bottom w:val="nil"/>
              <w:right w:val="nil"/>
            </w:tcBorders>
            <w:vAlign w:val="bottom"/>
          </w:tcPr>
          <w:p w:rsidR="0065170A" w:rsidRPr="00227C94" w:rsidRDefault="0065170A" w:rsidP="0065170A">
            <w:pPr>
              <w:pStyle w:val="tblNumber01"/>
            </w:pPr>
            <w:r w:rsidRPr="00227C94">
              <w:t>56</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63</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w:t>
            </w:r>
            <w:r w:rsidR="002E7579" w:rsidRPr="00227C94">
              <w:rPr>
                <w:lang w:val="en-GB"/>
              </w:rPr>
              <w:t>11</w:t>
            </w:r>
            <w:r w:rsidRPr="00227C94">
              <w:t>)</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113</w:t>
            </w:r>
          </w:p>
        </w:tc>
      </w:tr>
      <w:tr w:rsidR="0065170A" w:rsidRPr="00227C94" w:rsidTr="0065170A">
        <w:trPr>
          <w:cantSplit/>
        </w:trPr>
        <w:tc>
          <w:tcPr>
            <w:tcW w:w="2928" w:type="dxa"/>
            <w:tcBorders>
              <w:top w:val="nil"/>
              <w:left w:val="nil"/>
              <w:bottom w:val="nil"/>
              <w:right w:val="nil"/>
            </w:tcBorders>
            <w:vAlign w:val="bottom"/>
          </w:tcPr>
          <w:p w:rsidR="0065170A" w:rsidRPr="00227C94" w:rsidRDefault="0065170A" w:rsidP="0065170A">
            <w:pPr>
              <w:pStyle w:val="tblText02"/>
            </w:pPr>
            <w:r w:rsidRPr="00227C94">
              <w:t>Segment profit/(loss)</w:t>
            </w:r>
          </w:p>
        </w:tc>
        <w:tc>
          <w:tcPr>
            <w:tcW w:w="1417" w:type="dxa"/>
            <w:tcBorders>
              <w:top w:val="nil"/>
              <w:left w:val="nil"/>
              <w:bottom w:val="nil"/>
              <w:right w:val="nil"/>
            </w:tcBorders>
            <w:vAlign w:val="bottom"/>
          </w:tcPr>
          <w:p w:rsidR="0065170A" w:rsidRPr="00227C94" w:rsidRDefault="0065170A" w:rsidP="0065170A">
            <w:pPr>
              <w:pStyle w:val="tblNumber01"/>
            </w:pPr>
            <w:r w:rsidRPr="00227C94">
              <w:t>22,906</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2,843</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706</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5,773</w:t>
            </w:r>
          </w:p>
        </w:tc>
      </w:tr>
      <w:tr w:rsidR="0065170A" w:rsidRPr="00227C94" w:rsidTr="0065170A">
        <w:trPr>
          <w:cantSplit/>
        </w:trPr>
        <w:tc>
          <w:tcPr>
            <w:tcW w:w="2928" w:type="dxa"/>
            <w:tcBorders>
              <w:top w:val="nil"/>
              <w:left w:val="nil"/>
              <w:bottom w:val="nil"/>
              <w:right w:val="nil"/>
            </w:tcBorders>
            <w:vAlign w:val="bottom"/>
          </w:tcPr>
          <w:p w:rsidR="0065170A" w:rsidRPr="00227C94" w:rsidRDefault="0065170A" w:rsidP="0065170A">
            <w:pPr>
              <w:pStyle w:val="tblText02"/>
            </w:pPr>
            <w:r w:rsidRPr="00227C94">
              <w:t>Segment profit margin (%)</w:t>
            </w:r>
          </w:p>
        </w:tc>
        <w:tc>
          <w:tcPr>
            <w:tcW w:w="1417" w:type="dxa"/>
            <w:tcBorders>
              <w:top w:val="nil"/>
              <w:left w:val="nil"/>
              <w:bottom w:val="nil"/>
              <w:right w:val="nil"/>
            </w:tcBorders>
            <w:vAlign w:val="bottom"/>
          </w:tcPr>
          <w:p w:rsidR="0065170A" w:rsidRPr="00227C94" w:rsidRDefault="0065170A" w:rsidP="0065170A">
            <w:pPr>
              <w:pStyle w:val="tblNumber01"/>
            </w:pPr>
            <w:r w:rsidRPr="00227C94">
              <w:t>25%</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3%</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Dash"/>
            </w:pPr>
            <w:r w:rsidRPr="00227C94">
              <w:t>-</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4%</w:t>
            </w:r>
          </w:p>
        </w:tc>
      </w:tr>
      <w:tr w:rsidR="0065170A" w:rsidRPr="00227C94" w:rsidTr="0065170A">
        <w:trPr>
          <w:cantSplit/>
        </w:trPr>
        <w:tc>
          <w:tcPr>
            <w:tcW w:w="2928" w:type="dxa"/>
            <w:tcBorders>
              <w:top w:val="nil"/>
              <w:left w:val="nil"/>
              <w:bottom w:val="nil"/>
              <w:right w:val="nil"/>
            </w:tcBorders>
            <w:vAlign w:val="bottom"/>
          </w:tcPr>
          <w:p w:rsidR="0065170A" w:rsidRPr="00227C94" w:rsidRDefault="0065170A" w:rsidP="0065170A">
            <w:pPr>
              <w:pStyle w:val="tblText02"/>
              <w:rPr>
                <w:lang w:val="en-US"/>
              </w:rPr>
            </w:pPr>
            <w:r w:rsidRPr="00227C94">
              <w:rPr>
                <w:lang w:val="en-US"/>
              </w:rPr>
              <w:t>TCC per ounce sold (USD/ounce)</w:t>
            </w:r>
          </w:p>
        </w:tc>
        <w:tc>
          <w:tcPr>
            <w:tcW w:w="1417" w:type="dxa"/>
            <w:tcBorders>
              <w:top w:val="nil"/>
              <w:left w:val="nil"/>
              <w:bottom w:val="nil"/>
              <w:right w:val="nil"/>
            </w:tcBorders>
            <w:vAlign w:val="bottom"/>
          </w:tcPr>
          <w:p w:rsidR="0065170A" w:rsidRPr="00227C94" w:rsidRDefault="0065170A" w:rsidP="0065170A">
            <w:pPr>
              <w:pStyle w:val="tblNumber01"/>
            </w:pPr>
            <w:r w:rsidRPr="00227C94">
              <w:t>707</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642</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10</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653</w:t>
            </w:r>
          </w:p>
        </w:tc>
      </w:tr>
    </w:tbl>
    <w:p w:rsidR="0065170A" w:rsidRPr="00227C94" w:rsidRDefault="0065170A" w:rsidP="0065170A">
      <w:pPr>
        <w:pStyle w:val="23"/>
        <w:rPr>
          <w:color w:val="auto"/>
          <w:sz w:val="18"/>
          <w:szCs w:val="18"/>
        </w:rPr>
      </w:pPr>
      <w:r w:rsidRPr="00227C94">
        <w:rPr>
          <w:color w:val="auto"/>
          <w:sz w:val="18"/>
          <w:szCs w:val="18"/>
        </w:rPr>
        <w:t>_______</w:t>
      </w:r>
      <w:r w:rsidRPr="00227C94">
        <w:rPr>
          <w:color w:val="auto"/>
          <w:sz w:val="18"/>
          <w:szCs w:val="18"/>
          <w:lang w:val="en-US"/>
        </w:rPr>
        <w:t>____________</w:t>
      </w:r>
      <w:r w:rsidRPr="00227C94">
        <w:rPr>
          <w:color w:val="auto"/>
          <w:sz w:val="18"/>
          <w:szCs w:val="18"/>
        </w:rPr>
        <w:t>_________</w:t>
      </w:r>
    </w:p>
    <w:p w:rsidR="00916675" w:rsidRPr="00227C94" w:rsidRDefault="00916675" w:rsidP="0065170A">
      <w:pPr>
        <w:pStyle w:val="23"/>
        <w:rPr>
          <w:color w:val="auto"/>
          <w:sz w:val="18"/>
        </w:rPr>
      </w:pPr>
      <w:r w:rsidRPr="00227C94">
        <w:rPr>
          <w:color w:val="auto"/>
          <w:sz w:val="18"/>
        </w:rPr>
        <w:t>Source: Management accounting data.</w:t>
      </w:r>
    </w:p>
    <w:p w:rsidR="00916675" w:rsidRPr="00227C94" w:rsidRDefault="0065170A" w:rsidP="0065170A">
      <w:pPr>
        <w:pStyle w:val="23"/>
        <w:rPr>
          <w:color w:val="auto"/>
          <w:lang w:val="en-US"/>
        </w:rPr>
      </w:pPr>
      <w:r w:rsidRPr="00227C94">
        <w:rPr>
          <w:color w:val="auto"/>
          <w:lang w:val="en-US"/>
        </w:rPr>
        <w:br w:type="page"/>
      </w:r>
      <w:r w:rsidR="00916675" w:rsidRPr="00227C94">
        <w:rPr>
          <w:color w:val="auto"/>
          <w:lang w:val="en-US"/>
        </w:rPr>
        <w:lastRenderedPageBreak/>
        <w:t>In the first six months 2012, the Kazakhstan business unit produced 51 thousand ounces of gold in semi-finished products, compared to 57 thousand ounces in the same period of 2011. The decrease of 13% was a result of 51% reduction in ore processed at heap leaching site due to expiration of the licence for geological exploration of the Akzhal deposit, as well as due to reduction of open pit mining at the Aksu mine.</w:t>
      </w:r>
    </w:p>
    <w:p w:rsidR="0065170A" w:rsidRPr="00227C94" w:rsidRDefault="0065170A" w:rsidP="0065170A">
      <w:pPr>
        <w:pStyle w:val="23"/>
        <w:rPr>
          <w:color w:val="auto"/>
          <w:lang w:val="en-US"/>
        </w:rPr>
      </w:pPr>
    </w:p>
    <w:p w:rsidR="00916675" w:rsidRPr="00227C94" w:rsidRDefault="00916675" w:rsidP="0065170A">
      <w:pPr>
        <w:pStyle w:val="23"/>
        <w:rPr>
          <w:color w:val="auto"/>
          <w:lang w:val="en-US"/>
        </w:rPr>
      </w:pPr>
      <w:r w:rsidRPr="00227C94">
        <w:rPr>
          <w:color w:val="auto"/>
          <w:lang w:val="en-US"/>
        </w:rPr>
        <w:t>Gold sales amounted to USD90</w:t>
      </w:r>
      <w:proofErr w:type="gramStart"/>
      <w:r w:rsidRPr="00227C94">
        <w:rPr>
          <w:color w:val="auto"/>
          <w:lang w:val="en-US"/>
        </w:rPr>
        <w:t>,992</w:t>
      </w:r>
      <w:proofErr w:type="gramEnd"/>
      <w:r w:rsidRPr="00227C94">
        <w:rPr>
          <w:color w:val="auto"/>
          <w:lang w:val="en-US"/>
        </w:rPr>
        <w:t xml:space="preserve"> thousand in H1 2012, compared to USD83,286 thousand in </w:t>
      </w:r>
      <w:r w:rsidRPr="00227C94">
        <w:rPr>
          <w:color w:val="auto"/>
          <w:spacing w:val="-2"/>
          <w:lang w:val="en-US"/>
        </w:rPr>
        <w:t xml:space="preserve">the first six months of 2011. The increase resulted from higher realised gold prices offset by decrease </w:t>
      </w:r>
      <w:r w:rsidRPr="00227C94">
        <w:rPr>
          <w:color w:val="auto"/>
          <w:spacing w:val="-4"/>
          <w:lang w:val="en-US"/>
        </w:rPr>
        <w:t xml:space="preserve">in production. Sales volumes amounted to 56 thousand ounces in H1 2012, compared to 63 thousand </w:t>
      </w:r>
      <w:r w:rsidRPr="00227C94">
        <w:rPr>
          <w:color w:val="auto"/>
          <w:lang w:val="en-US"/>
        </w:rPr>
        <w:t>ounces in H1 2011. There were no other sales in H1 2012.</w:t>
      </w:r>
    </w:p>
    <w:p w:rsidR="0065170A" w:rsidRPr="00227C94" w:rsidRDefault="0065170A" w:rsidP="0065170A">
      <w:pPr>
        <w:pStyle w:val="23"/>
        <w:spacing w:line="180" w:lineRule="exact"/>
        <w:rPr>
          <w:color w:val="auto"/>
          <w:lang w:val="en-US"/>
        </w:rPr>
      </w:pPr>
    </w:p>
    <w:p w:rsidR="00916675" w:rsidRPr="00227C94" w:rsidRDefault="00916675" w:rsidP="0065170A">
      <w:pPr>
        <w:pStyle w:val="23"/>
        <w:rPr>
          <w:color w:val="auto"/>
          <w:spacing w:val="-2"/>
          <w:lang w:val="en-US"/>
        </w:rPr>
      </w:pPr>
      <w:r w:rsidRPr="00227C94">
        <w:rPr>
          <w:color w:val="auto"/>
          <w:lang w:val="en-US"/>
        </w:rPr>
        <w:t xml:space="preserve">Total cash costs per ounce of gold sold in H1 2012 amounted to USD707, compared to </w:t>
      </w:r>
      <w:r w:rsidR="0065170A" w:rsidRPr="00227C94">
        <w:rPr>
          <w:color w:val="auto"/>
          <w:lang w:val="en-US"/>
        </w:rPr>
        <w:br/>
      </w:r>
      <w:r w:rsidRPr="00227C94">
        <w:rPr>
          <w:color w:val="auto"/>
          <w:lang w:val="en-US"/>
        </w:rPr>
        <w:t xml:space="preserve">USD642 in the same period of the previous year. Besides the factors impacting on the Kazakhstan business unit cash costs described in paragraph 1.3, the increase in TCC per ounce sold at the </w:t>
      </w:r>
      <w:r w:rsidRPr="00227C94">
        <w:rPr>
          <w:color w:val="auto"/>
          <w:spacing w:val="-2"/>
          <w:lang w:val="en-US"/>
        </w:rPr>
        <w:t>Kazakhstan mines was driven by a material decline in the average gold grade in the ore processed at plants, decrease in volumes of cheap processing at heap leaching facilities, deterioration of ore quality.</w:t>
      </w:r>
    </w:p>
    <w:p w:rsidR="0065170A" w:rsidRPr="00227C94" w:rsidRDefault="0065170A" w:rsidP="0065170A">
      <w:pPr>
        <w:pStyle w:val="23"/>
        <w:spacing w:line="180" w:lineRule="exact"/>
        <w:rPr>
          <w:color w:val="auto"/>
          <w:lang w:val="en-US"/>
        </w:rPr>
      </w:pPr>
    </w:p>
    <w:p w:rsidR="00916675" w:rsidRPr="00227C94" w:rsidRDefault="00916675" w:rsidP="0065170A">
      <w:pPr>
        <w:pStyle w:val="23"/>
        <w:rPr>
          <w:color w:val="auto"/>
          <w:lang w:val="en-US"/>
        </w:rPr>
      </w:pPr>
      <w:r w:rsidRPr="00227C94">
        <w:rPr>
          <w:color w:val="auto"/>
          <w:lang w:val="en-US"/>
        </w:rPr>
        <w:t>In H1 2012, the segment profit of the Kazakhstan operations amounted to USD22</w:t>
      </w:r>
      <w:proofErr w:type="gramStart"/>
      <w:r w:rsidRPr="00227C94">
        <w:rPr>
          <w:color w:val="auto"/>
          <w:lang w:val="en-US"/>
        </w:rPr>
        <w:t>,906</w:t>
      </w:r>
      <w:proofErr w:type="gramEnd"/>
      <w:r w:rsidRPr="00227C94">
        <w:rPr>
          <w:color w:val="auto"/>
          <w:lang w:val="en-US"/>
        </w:rPr>
        <w:t xml:space="preserve"> thousand, </w:t>
      </w:r>
      <w:r w:rsidRPr="00227C94">
        <w:rPr>
          <w:color w:val="auto"/>
          <w:spacing w:val="-5"/>
          <w:lang w:val="en-US"/>
        </w:rPr>
        <w:t xml:space="preserve">compared to USD2,843 thousand in H1 2011. The improvement of the financial results of the business </w:t>
      </w:r>
      <w:r w:rsidRPr="00227C94">
        <w:rPr>
          <w:color w:val="auto"/>
          <w:lang w:val="en-US"/>
        </w:rPr>
        <w:t>unit was a result of the average realised gold price increase</w:t>
      </w:r>
      <w:r w:rsidR="00193C4B" w:rsidRPr="00227C94">
        <w:rPr>
          <w:color w:val="auto"/>
          <w:lang w:val="en-US"/>
        </w:rPr>
        <w:t>,</w:t>
      </w:r>
      <w:r w:rsidR="00193C4B" w:rsidRPr="00227C94">
        <w:rPr>
          <w:color w:val="auto"/>
          <w:lang w:val="en-GB"/>
        </w:rPr>
        <w:t xml:space="preserve"> as well as </w:t>
      </w:r>
      <w:r w:rsidR="00193C4B" w:rsidRPr="00227C94">
        <w:rPr>
          <w:rFonts w:cs="Arial"/>
          <w:color w:val="auto"/>
          <w:lang w:val="en-US"/>
        </w:rPr>
        <w:t xml:space="preserve">redeemtion of </w:t>
      </w:r>
      <w:r w:rsidR="00193C4B" w:rsidRPr="00227C94">
        <w:rPr>
          <w:color w:val="auto"/>
          <w:lang w:val="en-US"/>
        </w:rPr>
        <w:t xml:space="preserve">Senior Notes in March 2012. In H1 2011 interest expenses on </w:t>
      </w:r>
      <w:proofErr w:type="gramStart"/>
      <w:r w:rsidR="00193C4B" w:rsidRPr="00227C94">
        <w:rPr>
          <w:color w:val="auto"/>
          <w:lang w:val="en-US"/>
        </w:rPr>
        <w:t>Senior</w:t>
      </w:r>
      <w:proofErr w:type="gramEnd"/>
      <w:r w:rsidR="00193C4B" w:rsidRPr="00227C94">
        <w:rPr>
          <w:color w:val="auto"/>
          <w:lang w:val="en-US"/>
        </w:rPr>
        <w:t xml:space="preserve"> notes were consolidated in the result of the Kazakhstan business unit.</w:t>
      </w:r>
    </w:p>
    <w:p w:rsidR="00916675" w:rsidRPr="00227C94" w:rsidRDefault="00916675" w:rsidP="0065170A">
      <w:pPr>
        <w:pStyle w:val="23"/>
        <w:spacing w:line="180" w:lineRule="exact"/>
        <w:rPr>
          <w:color w:val="auto"/>
          <w:lang w:val="en-US"/>
        </w:rPr>
      </w:pPr>
    </w:p>
    <w:p w:rsidR="00916675" w:rsidRPr="00227C94" w:rsidRDefault="00916675" w:rsidP="0065170A">
      <w:pPr>
        <w:pStyle w:val="23"/>
        <w:spacing w:line="180" w:lineRule="exact"/>
        <w:rPr>
          <w:color w:val="auto"/>
          <w:lang w:val="en-US"/>
        </w:rPr>
      </w:pPr>
    </w:p>
    <w:p w:rsidR="00916675" w:rsidRPr="00227C94" w:rsidRDefault="00916675" w:rsidP="0065170A">
      <w:pPr>
        <w:pStyle w:val="1"/>
        <w:rPr>
          <w:lang w:val="en-US"/>
        </w:rPr>
      </w:pPr>
      <w:bookmarkStart w:id="251" w:name="_DV_M254"/>
      <w:bookmarkStart w:id="252" w:name="_Toc303889390"/>
      <w:bookmarkStart w:id="253" w:name="_Toc304205606"/>
      <w:bookmarkEnd w:id="251"/>
      <w:r w:rsidRPr="00227C94">
        <w:t>NON-GAAP FINANCIAL MEASURES</w:t>
      </w:r>
      <w:bookmarkEnd w:id="252"/>
      <w:bookmarkEnd w:id="253"/>
    </w:p>
    <w:p w:rsidR="0065170A" w:rsidRPr="00227C94" w:rsidRDefault="0065170A" w:rsidP="0065170A">
      <w:pPr>
        <w:pStyle w:val="23"/>
        <w:spacing w:line="180" w:lineRule="exact"/>
        <w:rPr>
          <w:color w:val="auto"/>
          <w:lang w:val="en-US"/>
        </w:rPr>
      </w:pPr>
    </w:p>
    <w:p w:rsidR="00916675" w:rsidRPr="00227C94" w:rsidRDefault="00916675" w:rsidP="0065170A">
      <w:pPr>
        <w:pStyle w:val="23"/>
        <w:rPr>
          <w:color w:val="auto"/>
          <w:lang w:val="en-US"/>
        </w:rPr>
      </w:pPr>
      <w:bookmarkStart w:id="254" w:name="_DV_M255"/>
      <w:bookmarkEnd w:id="254"/>
      <w:r w:rsidRPr="00227C94">
        <w:rPr>
          <w:color w:val="auto"/>
          <w:lang w:val="en-US"/>
        </w:rPr>
        <w:t>In its own analysis of the Group’s results, the Group uses key performance indicators which are not measures determined in accordance with IFRS.</w:t>
      </w:r>
    </w:p>
    <w:p w:rsidR="00916675" w:rsidRPr="00227C94" w:rsidRDefault="00916675" w:rsidP="0065170A">
      <w:pPr>
        <w:pStyle w:val="23"/>
        <w:spacing w:line="180" w:lineRule="exact"/>
        <w:rPr>
          <w:color w:val="auto"/>
          <w:lang w:val="en-US"/>
        </w:rPr>
      </w:pPr>
    </w:p>
    <w:p w:rsidR="00916675" w:rsidRPr="00227C94" w:rsidRDefault="00916675" w:rsidP="0065170A">
      <w:pPr>
        <w:pStyle w:val="22"/>
        <w:rPr>
          <w:lang w:val="en-US"/>
        </w:rPr>
      </w:pPr>
      <w:bookmarkStart w:id="255" w:name="_DV_M256"/>
      <w:bookmarkStart w:id="256" w:name="_Toc303889391"/>
      <w:bookmarkStart w:id="257" w:name="_Toc304205607"/>
      <w:bookmarkEnd w:id="255"/>
      <w:r w:rsidRPr="00227C94">
        <w:t>3.1 EBITDA</w:t>
      </w:r>
      <w:bookmarkEnd w:id="256"/>
      <w:bookmarkEnd w:id="257"/>
    </w:p>
    <w:p w:rsidR="0065170A" w:rsidRPr="00227C94" w:rsidRDefault="0065170A" w:rsidP="0065170A">
      <w:pPr>
        <w:pStyle w:val="23"/>
        <w:spacing w:line="180" w:lineRule="exact"/>
        <w:rPr>
          <w:color w:val="auto"/>
          <w:lang w:val="en-US"/>
        </w:rPr>
      </w:pPr>
    </w:p>
    <w:p w:rsidR="00916675" w:rsidRPr="00227C94" w:rsidRDefault="00916675" w:rsidP="0065170A">
      <w:pPr>
        <w:pStyle w:val="23"/>
        <w:rPr>
          <w:color w:val="auto"/>
          <w:lang w:val="en-US"/>
        </w:rPr>
      </w:pPr>
      <w:bookmarkStart w:id="258" w:name="_DV_M257"/>
      <w:bookmarkEnd w:id="258"/>
      <w:r w:rsidRPr="00227C94">
        <w:rPr>
          <w:color w:val="auto"/>
          <w:spacing w:val="-2"/>
          <w:lang w:val="en-US"/>
        </w:rPr>
        <w:t xml:space="preserve">“Adjusted EBITDA” is defined by the Group as profit before finance costs, income tax, </w:t>
      </w:r>
      <w:bookmarkStart w:id="259" w:name="_DV_M258"/>
      <w:bookmarkEnd w:id="259"/>
      <w:r w:rsidRPr="00227C94">
        <w:rPr>
          <w:color w:val="auto"/>
          <w:spacing w:val="-2"/>
          <w:lang w:val="en-US"/>
        </w:rPr>
        <w:t>income</w:t>
      </w:r>
      <w:proofErr w:type="gramStart"/>
      <w:r w:rsidRPr="00227C94">
        <w:rPr>
          <w:color w:val="auto"/>
          <w:spacing w:val="-2"/>
          <w:lang w:val="en-US"/>
        </w:rPr>
        <w:t>/(</w:t>
      </w:r>
      <w:proofErr w:type="gramEnd"/>
      <w:r w:rsidRPr="00227C94">
        <w:rPr>
          <w:color w:val="auto"/>
          <w:spacing w:val="-2"/>
          <w:lang w:val="en-US"/>
        </w:rPr>
        <w:t xml:space="preserve">losses) </w:t>
      </w:r>
      <w:r w:rsidRPr="00227C94">
        <w:rPr>
          <w:color w:val="auto"/>
          <w:lang w:val="en-US"/>
        </w:rPr>
        <w:t xml:space="preserve">from investments, depreciation, amortisation and interest, and is further adjusted by certain items included in the table below. The Group has made these adjustments in calculating Adjusted EBITDA to provide a clearer view of the performance of its underlying business operations and to generate </w:t>
      </w:r>
      <w:r w:rsidR="0065170A" w:rsidRPr="00227C94">
        <w:rPr>
          <w:color w:val="auto"/>
          <w:lang w:val="en-US"/>
        </w:rPr>
        <w:br/>
      </w:r>
      <w:r w:rsidRPr="00227C94">
        <w:rPr>
          <w:color w:val="auto"/>
          <w:lang w:val="en-US"/>
        </w:rPr>
        <w:t xml:space="preserve">a metric that it believes will give greater comparability over time with peers in its industry. The Group </w:t>
      </w:r>
      <w:r w:rsidRPr="00227C94">
        <w:rPr>
          <w:color w:val="auto"/>
          <w:spacing w:val="-4"/>
          <w:lang w:val="en-US"/>
        </w:rPr>
        <w:t xml:space="preserve">believes that Adjusted EBITDA is a meaningful indicator of its profitability and performance. This measure should not be considered as an alternative to profit for the year and operating cash flows based on IFRS </w:t>
      </w:r>
      <w:r w:rsidRPr="00227C94">
        <w:rPr>
          <w:color w:val="auto"/>
          <w:lang w:val="en-US"/>
        </w:rPr>
        <w:t>and should not necessarily be construed as a comprehensive indicator of the Group’s measure of profitability or liquidity.</w:t>
      </w:r>
    </w:p>
    <w:p w:rsidR="0065170A" w:rsidRPr="00227C94" w:rsidRDefault="0065170A" w:rsidP="0065170A">
      <w:pPr>
        <w:pStyle w:val="23"/>
        <w:spacing w:line="180" w:lineRule="exact"/>
        <w:rPr>
          <w:color w:val="auto"/>
          <w:lang w:val="en-US"/>
        </w:rPr>
      </w:pPr>
    </w:p>
    <w:p w:rsidR="00916675" w:rsidRPr="00227C94" w:rsidRDefault="00916675" w:rsidP="0065170A">
      <w:pPr>
        <w:pStyle w:val="23"/>
        <w:rPr>
          <w:color w:val="auto"/>
          <w:spacing w:val="-2"/>
          <w:lang w:val="en-US"/>
        </w:rPr>
      </w:pPr>
      <w:bookmarkStart w:id="260" w:name="_DV_M259"/>
      <w:bookmarkEnd w:id="260"/>
      <w:r w:rsidRPr="00227C94">
        <w:rPr>
          <w:color w:val="auto"/>
          <w:spacing w:val="-2"/>
          <w:lang w:val="en-US"/>
        </w:rPr>
        <w:t xml:space="preserve">The following table sets forth the Group’s Adjusted EBITDA for the 6 months ended 30 June 2012 and </w:t>
      </w:r>
      <w:proofErr w:type="gramStart"/>
      <w:r w:rsidRPr="00227C94">
        <w:rPr>
          <w:color w:val="auto"/>
          <w:spacing w:val="-2"/>
          <w:lang w:val="en-US"/>
        </w:rPr>
        <w:t>2011,</w:t>
      </w:r>
      <w:proofErr w:type="gramEnd"/>
      <w:r w:rsidRPr="00227C94">
        <w:rPr>
          <w:color w:val="auto"/>
          <w:spacing w:val="-2"/>
          <w:lang w:val="en-US"/>
        </w:rPr>
        <w:t xml:space="preserve"> and for the year ended 31 December 2011:</w:t>
      </w:r>
    </w:p>
    <w:p w:rsidR="0065170A" w:rsidRPr="00227C94" w:rsidRDefault="0065170A" w:rsidP="0065170A">
      <w:pPr>
        <w:pStyle w:val="23"/>
        <w:spacing w:line="180" w:lineRule="exact"/>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2928"/>
        <w:gridCol w:w="1417"/>
        <w:gridCol w:w="113"/>
        <w:gridCol w:w="1417"/>
        <w:gridCol w:w="113"/>
        <w:gridCol w:w="1417"/>
        <w:gridCol w:w="113"/>
        <w:gridCol w:w="1417"/>
      </w:tblGrid>
      <w:tr w:rsidR="0065170A" w:rsidRPr="00227C94" w:rsidTr="00A701F4">
        <w:trPr>
          <w:cantSplit/>
        </w:trPr>
        <w:tc>
          <w:tcPr>
            <w:tcW w:w="2928" w:type="dxa"/>
            <w:tcBorders>
              <w:top w:val="nil"/>
              <w:left w:val="nil"/>
              <w:bottom w:val="nil"/>
              <w:right w:val="nil"/>
            </w:tcBorders>
          </w:tcPr>
          <w:p w:rsidR="0065170A" w:rsidRPr="00227C94" w:rsidRDefault="0065170A" w:rsidP="0065170A">
            <w:pPr>
              <w:pStyle w:val="tblHeaderText"/>
              <w:jc w:val="left"/>
              <w:rPr>
                <w:lang w:val="en-US"/>
              </w:rPr>
            </w:pPr>
          </w:p>
        </w:tc>
        <w:tc>
          <w:tcPr>
            <w:tcW w:w="2947" w:type="dxa"/>
            <w:gridSpan w:val="3"/>
            <w:tcBorders>
              <w:top w:val="nil"/>
              <w:left w:val="nil"/>
              <w:bottom w:val="single" w:sz="6" w:space="0" w:color="auto"/>
              <w:right w:val="nil"/>
            </w:tcBorders>
            <w:shd w:val="clear" w:color="auto" w:fill="auto"/>
            <w:vAlign w:val="bottom"/>
          </w:tcPr>
          <w:p w:rsidR="0065170A" w:rsidRPr="00227C94" w:rsidRDefault="0065170A" w:rsidP="0065170A">
            <w:pPr>
              <w:pStyle w:val="tblHeaderText"/>
            </w:pPr>
            <w:r w:rsidRPr="00227C94">
              <w:t>Six months ended 30 June</w:t>
            </w:r>
          </w:p>
        </w:tc>
        <w:tc>
          <w:tcPr>
            <w:tcW w:w="113" w:type="dxa"/>
            <w:tcBorders>
              <w:top w:val="nil"/>
              <w:left w:val="nil"/>
              <w:bottom w:val="nil"/>
              <w:right w:val="nil"/>
            </w:tcBorders>
            <w:vAlign w:val="bottom"/>
          </w:tcPr>
          <w:p w:rsidR="0065170A" w:rsidRPr="00227C94" w:rsidRDefault="0065170A" w:rsidP="0065170A">
            <w:pPr>
              <w:pStyle w:val="tblHeaderText"/>
            </w:pPr>
          </w:p>
        </w:tc>
        <w:tc>
          <w:tcPr>
            <w:tcW w:w="1417" w:type="dxa"/>
            <w:tcBorders>
              <w:top w:val="nil"/>
              <w:left w:val="nil"/>
              <w:right w:val="nil"/>
            </w:tcBorders>
            <w:vAlign w:val="bottom"/>
          </w:tcPr>
          <w:p w:rsidR="003443ED" w:rsidRPr="00227C94" w:rsidRDefault="0065170A" w:rsidP="0065170A">
            <w:pPr>
              <w:pStyle w:val="tblHeaderText"/>
              <w:rPr>
                <w:lang w:val="en-US"/>
              </w:rPr>
            </w:pPr>
            <w:r w:rsidRPr="00227C94">
              <w:t xml:space="preserve">% </w:t>
            </w:r>
          </w:p>
          <w:p w:rsidR="0065170A" w:rsidRPr="00227C94" w:rsidRDefault="0065170A" w:rsidP="0065170A">
            <w:pPr>
              <w:pStyle w:val="tblHeaderText"/>
            </w:pPr>
            <w:r w:rsidRPr="00227C94">
              <w:t>change</w:t>
            </w:r>
          </w:p>
        </w:tc>
        <w:tc>
          <w:tcPr>
            <w:tcW w:w="113" w:type="dxa"/>
            <w:tcBorders>
              <w:top w:val="nil"/>
              <w:left w:val="nil"/>
              <w:bottom w:val="nil"/>
              <w:right w:val="nil"/>
            </w:tcBorders>
            <w:vAlign w:val="bottom"/>
          </w:tcPr>
          <w:p w:rsidR="0065170A" w:rsidRPr="00227C94" w:rsidRDefault="0065170A" w:rsidP="0065170A">
            <w:pPr>
              <w:pStyle w:val="tblHeaderText"/>
            </w:pPr>
          </w:p>
        </w:tc>
        <w:tc>
          <w:tcPr>
            <w:tcW w:w="1417" w:type="dxa"/>
            <w:tcBorders>
              <w:top w:val="nil"/>
              <w:left w:val="nil"/>
              <w:right w:val="nil"/>
            </w:tcBorders>
            <w:vAlign w:val="bottom"/>
          </w:tcPr>
          <w:p w:rsidR="0065170A" w:rsidRPr="00227C94" w:rsidRDefault="0065170A" w:rsidP="0065170A">
            <w:pPr>
              <w:pStyle w:val="tblHeaderText"/>
            </w:pPr>
            <w:r w:rsidRPr="00227C94">
              <w:t xml:space="preserve">Year ended </w:t>
            </w:r>
            <w:r w:rsidRPr="00227C94">
              <w:rPr>
                <w:lang w:val="en-US"/>
              </w:rPr>
              <w:br/>
            </w:r>
            <w:r w:rsidRPr="00227C94">
              <w:t>31 December</w:t>
            </w:r>
          </w:p>
        </w:tc>
      </w:tr>
      <w:tr w:rsidR="0065170A" w:rsidRPr="00227C94" w:rsidTr="00A701F4">
        <w:trPr>
          <w:cantSplit/>
        </w:trPr>
        <w:tc>
          <w:tcPr>
            <w:tcW w:w="2928" w:type="dxa"/>
            <w:tcBorders>
              <w:top w:val="nil"/>
              <w:left w:val="nil"/>
              <w:bottom w:val="nil"/>
              <w:right w:val="nil"/>
            </w:tcBorders>
          </w:tcPr>
          <w:p w:rsidR="0065170A" w:rsidRPr="00227C94" w:rsidRDefault="0065170A" w:rsidP="00690257">
            <w:pPr>
              <w:pStyle w:val="tblHeaderText"/>
              <w:jc w:val="left"/>
            </w:pPr>
            <w:r w:rsidRPr="00227C94">
              <w:t>USD’000</w:t>
            </w:r>
          </w:p>
        </w:tc>
        <w:tc>
          <w:tcPr>
            <w:tcW w:w="1417" w:type="dxa"/>
            <w:tcBorders>
              <w:top w:val="single" w:sz="6" w:space="0" w:color="auto"/>
              <w:left w:val="nil"/>
              <w:bottom w:val="single" w:sz="6" w:space="0" w:color="auto"/>
              <w:right w:val="nil"/>
            </w:tcBorders>
            <w:shd w:val="clear" w:color="auto" w:fill="auto"/>
          </w:tcPr>
          <w:p w:rsidR="0065170A" w:rsidRPr="00227C94" w:rsidRDefault="0065170A" w:rsidP="00690257">
            <w:pPr>
              <w:pStyle w:val="tblHeaderText"/>
            </w:pPr>
            <w:r w:rsidRPr="00227C94">
              <w:t>2012</w:t>
            </w:r>
          </w:p>
        </w:tc>
        <w:tc>
          <w:tcPr>
            <w:tcW w:w="113" w:type="dxa"/>
            <w:tcBorders>
              <w:top w:val="single" w:sz="6" w:space="0" w:color="auto"/>
              <w:left w:val="nil"/>
              <w:bottom w:val="nil"/>
              <w:right w:val="nil"/>
            </w:tcBorders>
            <w:shd w:val="clear" w:color="auto" w:fill="auto"/>
          </w:tcPr>
          <w:p w:rsidR="0065170A" w:rsidRPr="00227C94" w:rsidRDefault="0065170A" w:rsidP="00690257">
            <w:pPr>
              <w:pStyle w:val="tblHeaderText"/>
            </w:pPr>
          </w:p>
        </w:tc>
        <w:tc>
          <w:tcPr>
            <w:tcW w:w="1417" w:type="dxa"/>
            <w:tcBorders>
              <w:top w:val="single" w:sz="6" w:space="0" w:color="auto"/>
              <w:left w:val="nil"/>
              <w:bottom w:val="single" w:sz="6" w:space="0" w:color="auto"/>
              <w:right w:val="nil"/>
            </w:tcBorders>
            <w:shd w:val="clear" w:color="auto" w:fill="auto"/>
          </w:tcPr>
          <w:p w:rsidR="0065170A" w:rsidRPr="00227C94" w:rsidRDefault="0065170A" w:rsidP="00690257">
            <w:pPr>
              <w:pStyle w:val="tblHeaderText"/>
            </w:pPr>
            <w:r w:rsidRPr="00227C94">
              <w:t>2011</w:t>
            </w:r>
          </w:p>
        </w:tc>
        <w:tc>
          <w:tcPr>
            <w:tcW w:w="113" w:type="dxa"/>
            <w:tcBorders>
              <w:top w:val="nil"/>
              <w:left w:val="nil"/>
              <w:right w:val="nil"/>
            </w:tcBorders>
          </w:tcPr>
          <w:p w:rsidR="0065170A" w:rsidRPr="00227C94" w:rsidRDefault="0065170A" w:rsidP="00690257">
            <w:pPr>
              <w:pStyle w:val="tblHeaderText"/>
            </w:pPr>
          </w:p>
        </w:tc>
        <w:tc>
          <w:tcPr>
            <w:tcW w:w="1417" w:type="dxa"/>
            <w:tcBorders>
              <w:top w:val="nil"/>
              <w:left w:val="nil"/>
              <w:bottom w:val="single" w:sz="6" w:space="0" w:color="auto"/>
              <w:right w:val="nil"/>
            </w:tcBorders>
            <w:shd w:val="clear" w:color="auto" w:fill="auto"/>
          </w:tcPr>
          <w:p w:rsidR="0065170A" w:rsidRPr="00227C94" w:rsidRDefault="0065170A" w:rsidP="00690257">
            <w:pPr>
              <w:pStyle w:val="tblHeaderText"/>
            </w:pPr>
            <w:r w:rsidRPr="00227C94">
              <w:t>p-o-p</w:t>
            </w:r>
          </w:p>
        </w:tc>
        <w:tc>
          <w:tcPr>
            <w:tcW w:w="113" w:type="dxa"/>
            <w:tcBorders>
              <w:top w:val="nil"/>
              <w:left w:val="nil"/>
              <w:right w:val="nil"/>
            </w:tcBorders>
          </w:tcPr>
          <w:p w:rsidR="0065170A" w:rsidRPr="00227C94" w:rsidRDefault="0065170A" w:rsidP="00690257">
            <w:pPr>
              <w:pStyle w:val="tblHeaderText"/>
            </w:pPr>
          </w:p>
        </w:tc>
        <w:tc>
          <w:tcPr>
            <w:tcW w:w="1417" w:type="dxa"/>
            <w:tcBorders>
              <w:top w:val="nil"/>
              <w:left w:val="nil"/>
              <w:bottom w:val="single" w:sz="6" w:space="0" w:color="auto"/>
              <w:right w:val="nil"/>
            </w:tcBorders>
            <w:shd w:val="clear" w:color="auto" w:fill="auto"/>
          </w:tcPr>
          <w:p w:rsidR="0065170A" w:rsidRPr="00227C94" w:rsidRDefault="0065170A" w:rsidP="00690257">
            <w:pPr>
              <w:pStyle w:val="tblHeaderText"/>
            </w:pPr>
            <w:r w:rsidRPr="00227C94">
              <w:t>2011</w:t>
            </w:r>
          </w:p>
        </w:tc>
      </w:tr>
      <w:tr w:rsidR="0065170A" w:rsidRPr="00227C94" w:rsidTr="00A701F4">
        <w:trPr>
          <w:cantSplit/>
          <w:trHeight w:hRule="exact" w:val="113"/>
        </w:trPr>
        <w:tc>
          <w:tcPr>
            <w:tcW w:w="2928" w:type="dxa"/>
            <w:tcBorders>
              <w:top w:val="nil"/>
              <w:left w:val="nil"/>
              <w:bottom w:val="nil"/>
              <w:right w:val="nil"/>
            </w:tcBorders>
          </w:tcPr>
          <w:p w:rsidR="0065170A" w:rsidRPr="00227C94" w:rsidRDefault="0065170A" w:rsidP="0065170A">
            <w:pPr>
              <w:pStyle w:val="tblHeaderText"/>
              <w:jc w:val="left"/>
            </w:pPr>
          </w:p>
        </w:tc>
        <w:tc>
          <w:tcPr>
            <w:tcW w:w="1417" w:type="dxa"/>
            <w:tcBorders>
              <w:top w:val="single" w:sz="6" w:space="0" w:color="auto"/>
              <w:left w:val="nil"/>
              <w:bottom w:val="nil"/>
              <w:right w:val="nil"/>
            </w:tcBorders>
            <w:shd w:val="clear" w:color="auto" w:fill="auto"/>
          </w:tcPr>
          <w:p w:rsidR="0065170A" w:rsidRPr="00227C94" w:rsidRDefault="0065170A" w:rsidP="0065170A">
            <w:pPr>
              <w:pStyle w:val="tblHeaderText"/>
            </w:pPr>
          </w:p>
        </w:tc>
        <w:tc>
          <w:tcPr>
            <w:tcW w:w="113" w:type="dxa"/>
            <w:tcBorders>
              <w:top w:val="nil"/>
              <w:left w:val="nil"/>
              <w:bottom w:val="nil"/>
              <w:right w:val="nil"/>
            </w:tcBorders>
          </w:tcPr>
          <w:p w:rsidR="0065170A" w:rsidRPr="00227C94" w:rsidRDefault="0065170A" w:rsidP="0065170A">
            <w:pPr>
              <w:pStyle w:val="tblHeaderText"/>
            </w:pPr>
          </w:p>
        </w:tc>
        <w:tc>
          <w:tcPr>
            <w:tcW w:w="1417" w:type="dxa"/>
            <w:tcBorders>
              <w:top w:val="single" w:sz="6" w:space="0" w:color="auto"/>
              <w:left w:val="nil"/>
              <w:bottom w:val="nil"/>
              <w:right w:val="nil"/>
            </w:tcBorders>
            <w:shd w:val="clear" w:color="auto" w:fill="auto"/>
          </w:tcPr>
          <w:p w:rsidR="0065170A" w:rsidRPr="00227C94" w:rsidRDefault="0065170A" w:rsidP="0065170A">
            <w:pPr>
              <w:pStyle w:val="tblHeaderText"/>
            </w:pPr>
          </w:p>
        </w:tc>
        <w:tc>
          <w:tcPr>
            <w:tcW w:w="113" w:type="dxa"/>
            <w:tcBorders>
              <w:left w:val="nil"/>
              <w:bottom w:val="nil"/>
              <w:right w:val="nil"/>
            </w:tcBorders>
            <w:shd w:val="clear" w:color="auto" w:fill="auto"/>
          </w:tcPr>
          <w:p w:rsidR="0065170A" w:rsidRPr="00227C94" w:rsidRDefault="0065170A" w:rsidP="0065170A">
            <w:pPr>
              <w:pStyle w:val="tblHeaderText"/>
            </w:pPr>
          </w:p>
        </w:tc>
        <w:tc>
          <w:tcPr>
            <w:tcW w:w="1417" w:type="dxa"/>
            <w:tcBorders>
              <w:top w:val="single" w:sz="6" w:space="0" w:color="auto"/>
              <w:left w:val="nil"/>
              <w:bottom w:val="nil"/>
              <w:right w:val="nil"/>
            </w:tcBorders>
            <w:shd w:val="clear" w:color="auto" w:fill="auto"/>
          </w:tcPr>
          <w:p w:rsidR="0065170A" w:rsidRPr="00227C94" w:rsidRDefault="0065170A" w:rsidP="0065170A">
            <w:pPr>
              <w:pStyle w:val="tblHeaderText"/>
            </w:pPr>
          </w:p>
        </w:tc>
        <w:tc>
          <w:tcPr>
            <w:tcW w:w="113" w:type="dxa"/>
            <w:tcBorders>
              <w:left w:val="nil"/>
              <w:bottom w:val="nil"/>
              <w:right w:val="nil"/>
            </w:tcBorders>
            <w:shd w:val="clear" w:color="auto" w:fill="auto"/>
          </w:tcPr>
          <w:p w:rsidR="0065170A" w:rsidRPr="00227C94" w:rsidRDefault="0065170A" w:rsidP="0065170A">
            <w:pPr>
              <w:pStyle w:val="tblHeaderText"/>
            </w:pPr>
          </w:p>
        </w:tc>
        <w:tc>
          <w:tcPr>
            <w:tcW w:w="1417" w:type="dxa"/>
            <w:tcBorders>
              <w:top w:val="single" w:sz="6" w:space="0" w:color="auto"/>
              <w:left w:val="nil"/>
              <w:bottom w:val="nil"/>
              <w:right w:val="nil"/>
            </w:tcBorders>
            <w:shd w:val="clear" w:color="auto" w:fill="auto"/>
          </w:tcPr>
          <w:p w:rsidR="0065170A" w:rsidRPr="00227C94" w:rsidRDefault="0065170A" w:rsidP="0065170A">
            <w:pPr>
              <w:pStyle w:val="tblHeaderText"/>
            </w:pPr>
          </w:p>
        </w:tc>
      </w:tr>
      <w:tr w:rsidR="0065170A" w:rsidRPr="00227C94" w:rsidTr="0065170A">
        <w:trPr>
          <w:cantSplit/>
        </w:trPr>
        <w:tc>
          <w:tcPr>
            <w:tcW w:w="2928" w:type="dxa"/>
            <w:tcBorders>
              <w:top w:val="nil"/>
              <w:left w:val="nil"/>
              <w:bottom w:val="nil"/>
              <w:right w:val="nil"/>
            </w:tcBorders>
            <w:vAlign w:val="center"/>
          </w:tcPr>
          <w:p w:rsidR="0065170A" w:rsidRPr="00227C94" w:rsidRDefault="0065170A" w:rsidP="0065170A">
            <w:pPr>
              <w:pStyle w:val="tblText05"/>
              <w:ind w:left="113"/>
            </w:pPr>
            <w:r w:rsidRPr="00227C94">
              <w:t>Profit for the period</w:t>
            </w:r>
          </w:p>
        </w:tc>
        <w:tc>
          <w:tcPr>
            <w:tcW w:w="1417" w:type="dxa"/>
            <w:tcBorders>
              <w:top w:val="nil"/>
              <w:left w:val="nil"/>
              <w:bottom w:val="nil"/>
              <w:right w:val="nil"/>
            </w:tcBorders>
            <w:vAlign w:val="bottom"/>
          </w:tcPr>
          <w:p w:rsidR="0065170A" w:rsidRPr="00227C94" w:rsidRDefault="0065170A" w:rsidP="0065170A">
            <w:pPr>
              <w:pStyle w:val="tblNumber01"/>
            </w:pPr>
            <w:r w:rsidRPr="00227C94">
              <w:t>425,896</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206,800</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106</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558,015</w:t>
            </w:r>
          </w:p>
        </w:tc>
      </w:tr>
      <w:tr w:rsidR="0065170A" w:rsidRPr="00227C94" w:rsidTr="0065170A">
        <w:trPr>
          <w:cantSplit/>
        </w:trPr>
        <w:tc>
          <w:tcPr>
            <w:tcW w:w="2928" w:type="dxa"/>
            <w:tcBorders>
              <w:top w:val="nil"/>
              <w:left w:val="nil"/>
              <w:bottom w:val="nil"/>
              <w:right w:val="nil"/>
            </w:tcBorders>
            <w:vAlign w:val="center"/>
          </w:tcPr>
          <w:p w:rsidR="0065170A" w:rsidRPr="00227C94" w:rsidRDefault="0065170A" w:rsidP="0065170A">
            <w:pPr>
              <w:pStyle w:val="tblText05"/>
              <w:ind w:left="113"/>
            </w:pPr>
            <w:r w:rsidRPr="00227C94">
              <w:t>+ Income tax charged</w:t>
            </w:r>
          </w:p>
        </w:tc>
        <w:tc>
          <w:tcPr>
            <w:tcW w:w="1417" w:type="dxa"/>
            <w:tcBorders>
              <w:top w:val="nil"/>
              <w:left w:val="nil"/>
              <w:bottom w:val="nil"/>
              <w:right w:val="nil"/>
            </w:tcBorders>
            <w:vAlign w:val="bottom"/>
          </w:tcPr>
          <w:p w:rsidR="0065170A" w:rsidRPr="00227C94" w:rsidRDefault="0065170A" w:rsidP="0065170A">
            <w:pPr>
              <w:pStyle w:val="tblNumber01"/>
            </w:pPr>
            <w:r w:rsidRPr="00227C94">
              <w:t>113,026</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60,400</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87</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207,052</w:t>
            </w:r>
          </w:p>
        </w:tc>
      </w:tr>
      <w:tr w:rsidR="0065170A" w:rsidRPr="00227C94" w:rsidTr="0065170A">
        <w:trPr>
          <w:cantSplit/>
        </w:trPr>
        <w:tc>
          <w:tcPr>
            <w:tcW w:w="2928" w:type="dxa"/>
            <w:tcBorders>
              <w:top w:val="nil"/>
              <w:left w:val="nil"/>
              <w:bottom w:val="nil"/>
              <w:right w:val="nil"/>
            </w:tcBorders>
            <w:vAlign w:val="center"/>
          </w:tcPr>
          <w:p w:rsidR="0065170A" w:rsidRPr="00227C94" w:rsidRDefault="0065170A" w:rsidP="0065170A">
            <w:pPr>
              <w:pStyle w:val="tblText05"/>
              <w:ind w:left="113"/>
              <w:rPr>
                <w:lang w:val="en-US"/>
              </w:rPr>
            </w:pPr>
            <w:r w:rsidRPr="00227C94">
              <w:rPr>
                <w:lang w:val="en-US"/>
              </w:rPr>
              <w:t>+ Depreciation and amortisation for the period</w:t>
            </w:r>
          </w:p>
        </w:tc>
        <w:tc>
          <w:tcPr>
            <w:tcW w:w="1417" w:type="dxa"/>
            <w:tcBorders>
              <w:top w:val="nil"/>
              <w:left w:val="nil"/>
              <w:bottom w:val="nil"/>
              <w:right w:val="nil"/>
            </w:tcBorders>
            <w:vAlign w:val="bottom"/>
          </w:tcPr>
          <w:p w:rsidR="0065170A" w:rsidRPr="00227C94" w:rsidRDefault="0065170A" w:rsidP="0065170A">
            <w:pPr>
              <w:pStyle w:val="tblNumber01"/>
            </w:pPr>
            <w:r w:rsidRPr="00227C94">
              <w:t>87,279</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93,645</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(7)</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187,949</w:t>
            </w:r>
          </w:p>
        </w:tc>
      </w:tr>
      <w:tr w:rsidR="0065170A" w:rsidRPr="00227C94" w:rsidTr="0065170A">
        <w:trPr>
          <w:cantSplit/>
        </w:trPr>
        <w:tc>
          <w:tcPr>
            <w:tcW w:w="2928" w:type="dxa"/>
            <w:tcBorders>
              <w:top w:val="nil"/>
              <w:left w:val="nil"/>
              <w:bottom w:val="nil"/>
              <w:right w:val="nil"/>
            </w:tcBorders>
            <w:vAlign w:val="center"/>
          </w:tcPr>
          <w:p w:rsidR="0065170A" w:rsidRPr="00227C94" w:rsidRDefault="0065170A" w:rsidP="0065170A">
            <w:pPr>
              <w:pStyle w:val="tblText05"/>
              <w:ind w:left="113"/>
            </w:pPr>
            <w:r w:rsidRPr="00227C94">
              <w:t>+ Interest expense</w:t>
            </w:r>
          </w:p>
        </w:tc>
        <w:tc>
          <w:tcPr>
            <w:tcW w:w="1417" w:type="dxa"/>
            <w:tcBorders>
              <w:top w:val="nil"/>
              <w:left w:val="nil"/>
              <w:bottom w:val="nil"/>
              <w:right w:val="nil"/>
            </w:tcBorders>
            <w:vAlign w:val="bottom"/>
          </w:tcPr>
          <w:p w:rsidR="0065170A" w:rsidRPr="00227C94" w:rsidRDefault="0065170A" w:rsidP="0065170A">
            <w:pPr>
              <w:pStyle w:val="tblNumber01"/>
            </w:pPr>
            <w:r w:rsidRPr="00227C94">
              <w:t>22,489</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22,712</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(1)</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71,403</w:t>
            </w:r>
          </w:p>
        </w:tc>
      </w:tr>
      <w:tr w:rsidR="0065170A" w:rsidRPr="00227C94" w:rsidTr="0065170A">
        <w:trPr>
          <w:cantSplit/>
        </w:trPr>
        <w:tc>
          <w:tcPr>
            <w:tcW w:w="2928" w:type="dxa"/>
            <w:tcBorders>
              <w:top w:val="nil"/>
              <w:left w:val="nil"/>
              <w:bottom w:val="nil"/>
              <w:right w:val="nil"/>
            </w:tcBorders>
            <w:vAlign w:val="center"/>
          </w:tcPr>
          <w:p w:rsidR="0065170A" w:rsidRPr="00227C94" w:rsidRDefault="0065170A" w:rsidP="0065170A">
            <w:pPr>
              <w:pStyle w:val="tblText05"/>
              <w:ind w:left="113"/>
            </w:pPr>
            <w:r w:rsidRPr="00227C94">
              <w:t>- Interest income</w:t>
            </w:r>
          </w:p>
        </w:tc>
        <w:tc>
          <w:tcPr>
            <w:tcW w:w="1417" w:type="dxa"/>
            <w:tcBorders>
              <w:top w:val="nil"/>
              <w:left w:val="nil"/>
              <w:bottom w:val="nil"/>
              <w:right w:val="nil"/>
            </w:tcBorders>
            <w:vAlign w:val="bottom"/>
          </w:tcPr>
          <w:p w:rsidR="0065170A" w:rsidRPr="00227C94" w:rsidRDefault="0065170A" w:rsidP="0065170A">
            <w:pPr>
              <w:pStyle w:val="tblNumber00"/>
            </w:pPr>
            <w:r w:rsidRPr="00227C94">
              <w:t>(17,325)</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(6,902)</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151</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(16,252)</w:t>
            </w:r>
          </w:p>
        </w:tc>
      </w:tr>
      <w:tr w:rsidR="0065170A" w:rsidRPr="00227C94" w:rsidTr="0065170A">
        <w:trPr>
          <w:cantSplit/>
        </w:trPr>
        <w:tc>
          <w:tcPr>
            <w:tcW w:w="2928" w:type="dxa"/>
            <w:tcBorders>
              <w:top w:val="nil"/>
              <w:left w:val="nil"/>
              <w:bottom w:val="nil"/>
              <w:right w:val="nil"/>
            </w:tcBorders>
            <w:vAlign w:val="center"/>
          </w:tcPr>
          <w:p w:rsidR="0065170A" w:rsidRPr="00227C94" w:rsidRDefault="0065170A" w:rsidP="0065170A">
            <w:pPr>
              <w:pStyle w:val="tblText05"/>
              <w:ind w:left="113"/>
              <w:rPr>
                <w:lang w:val="en-US"/>
              </w:rPr>
            </w:pPr>
            <w:r w:rsidRPr="00227C94">
              <w:rPr>
                <w:lang w:val="en-US"/>
              </w:rPr>
              <w:t>- Gain on disposal of investments</w:t>
            </w:r>
          </w:p>
        </w:tc>
        <w:tc>
          <w:tcPr>
            <w:tcW w:w="1417" w:type="dxa"/>
            <w:tcBorders>
              <w:top w:val="nil"/>
              <w:left w:val="nil"/>
              <w:bottom w:val="nil"/>
              <w:right w:val="nil"/>
            </w:tcBorders>
            <w:vAlign w:val="bottom"/>
          </w:tcPr>
          <w:p w:rsidR="0065170A" w:rsidRPr="00227C94" w:rsidRDefault="0065170A" w:rsidP="0065170A">
            <w:pPr>
              <w:pStyle w:val="tblNumberDash"/>
            </w:pPr>
            <w:r w:rsidRPr="00227C94">
              <w:t>-</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(17,023)</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Dash"/>
            </w:pPr>
            <w:r w:rsidRPr="00227C94">
              <w:t>-</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(17,023)</w:t>
            </w:r>
          </w:p>
        </w:tc>
      </w:tr>
      <w:tr w:rsidR="0065170A" w:rsidRPr="00227C94" w:rsidTr="0065170A">
        <w:trPr>
          <w:cantSplit/>
        </w:trPr>
        <w:tc>
          <w:tcPr>
            <w:tcW w:w="2928" w:type="dxa"/>
            <w:tcBorders>
              <w:top w:val="nil"/>
              <w:left w:val="nil"/>
              <w:bottom w:val="nil"/>
              <w:right w:val="nil"/>
            </w:tcBorders>
            <w:vAlign w:val="center"/>
          </w:tcPr>
          <w:p w:rsidR="0065170A" w:rsidRPr="00227C94" w:rsidRDefault="0065170A" w:rsidP="0065170A">
            <w:pPr>
              <w:pStyle w:val="tblText05"/>
              <w:ind w:left="113"/>
              <w:rPr>
                <w:lang w:val="en-US"/>
              </w:rPr>
            </w:pPr>
            <w:r w:rsidRPr="00227C94">
              <w:rPr>
                <w:lang w:val="en-US"/>
              </w:rPr>
              <w:t>+ Gain from investments in listed companies held for trading</w:t>
            </w:r>
          </w:p>
        </w:tc>
        <w:tc>
          <w:tcPr>
            <w:tcW w:w="1417" w:type="dxa"/>
            <w:tcBorders>
              <w:top w:val="nil"/>
              <w:left w:val="nil"/>
              <w:bottom w:val="nil"/>
              <w:right w:val="nil"/>
            </w:tcBorders>
            <w:vAlign w:val="bottom"/>
          </w:tcPr>
          <w:p w:rsidR="0065170A" w:rsidRPr="00227C94" w:rsidRDefault="0065170A" w:rsidP="0065170A">
            <w:pPr>
              <w:pStyle w:val="tblNumber00"/>
            </w:pPr>
            <w:r w:rsidRPr="00227C94">
              <w:t>(2,215)</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7,032</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(131)</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20,984</w:t>
            </w:r>
          </w:p>
        </w:tc>
      </w:tr>
      <w:tr w:rsidR="0065170A" w:rsidRPr="00227C94" w:rsidTr="0065170A">
        <w:trPr>
          <w:cantSplit/>
        </w:trPr>
        <w:tc>
          <w:tcPr>
            <w:tcW w:w="2928" w:type="dxa"/>
            <w:tcBorders>
              <w:top w:val="nil"/>
              <w:left w:val="nil"/>
              <w:bottom w:val="nil"/>
              <w:right w:val="nil"/>
            </w:tcBorders>
            <w:vAlign w:val="center"/>
          </w:tcPr>
          <w:p w:rsidR="0065170A" w:rsidRPr="00227C94" w:rsidRDefault="0065170A" w:rsidP="0065170A">
            <w:pPr>
              <w:pStyle w:val="tblText05"/>
              <w:ind w:left="113"/>
            </w:pPr>
            <w:r w:rsidRPr="00227C94">
              <w:t>- Foreign exchange gain</w:t>
            </w:r>
          </w:p>
        </w:tc>
        <w:tc>
          <w:tcPr>
            <w:tcW w:w="1417" w:type="dxa"/>
            <w:tcBorders>
              <w:top w:val="nil"/>
              <w:left w:val="nil"/>
              <w:bottom w:val="nil"/>
              <w:right w:val="nil"/>
            </w:tcBorders>
            <w:vAlign w:val="bottom"/>
          </w:tcPr>
          <w:p w:rsidR="0065170A" w:rsidRPr="00227C94" w:rsidRDefault="0065170A" w:rsidP="0065170A">
            <w:pPr>
              <w:pStyle w:val="tblNumber00"/>
            </w:pPr>
            <w:r w:rsidRPr="00227C94">
              <w:t>(7,578)</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(2,049)</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270</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5,814</w:t>
            </w:r>
          </w:p>
        </w:tc>
      </w:tr>
      <w:tr w:rsidR="0065170A" w:rsidRPr="00227C94" w:rsidTr="0065170A">
        <w:trPr>
          <w:cantSplit/>
        </w:trPr>
        <w:tc>
          <w:tcPr>
            <w:tcW w:w="2928" w:type="dxa"/>
            <w:tcBorders>
              <w:top w:val="nil"/>
              <w:left w:val="nil"/>
              <w:bottom w:val="nil"/>
              <w:right w:val="nil"/>
            </w:tcBorders>
            <w:vAlign w:val="center"/>
          </w:tcPr>
          <w:p w:rsidR="0065170A" w:rsidRPr="00227C94" w:rsidRDefault="0065170A" w:rsidP="0065170A">
            <w:pPr>
              <w:pStyle w:val="tblText05"/>
              <w:ind w:left="113"/>
              <w:rPr>
                <w:lang w:val="en-US"/>
              </w:rPr>
            </w:pPr>
            <w:r w:rsidRPr="00227C94">
              <w:rPr>
                <w:lang w:val="en-US"/>
              </w:rPr>
              <w:t>+ Loss from disposal of property, plant and equipment and work-in-progress</w:t>
            </w:r>
          </w:p>
        </w:tc>
        <w:tc>
          <w:tcPr>
            <w:tcW w:w="1417" w:type="dxa"/>
            <w:tcBorders>
              <w:top w:val="nil"/>
              <w:left w:val="nil"/>
              <w:bottom w:val="nil"/>
              <w:right w:val="nil"/>
            </w:tcBorders>
            <w:vAlign w:val="bottom"/>
          </w:tcPr>
          <w:p w:rsidR="0065170A" w:rsidRPr="00227C94" w:rsidRDefault="0065170A" w:rsidP="0065170A">
            <w:pPr>
              <w:pStyle w:val="tblNumber01"/>
            </w:pPr>
            <w:r w:rsidRPr="00227C94">
              <w:t>1,412</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2,62,624</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(46)</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5,933</w:t>
            </w:r>
          </w:p>
        </w:tc>
      </w:tr>
      <w:tr w:rsidR="0065170A" w:rsidRPr="00227C94" w:rsidTr="0065170A">
        <w:trPr>
          <w:cantSplit/>
        </w:trPr>
        <w:tc>
          <w:tcPr>
            <w:tcW w:w="2928" w:type="dxa"/>
            <w:tcBorders>
              <w:top w:val="nil"/>
              <w:left w:val="nil"/>
              <w:bottom w:val="nil"/>
              <w:right w:val="nil"/>
            </w:tcBorders>
            <w:vAlign w:val="center"/>
          </w:tcPr>
          <w:p w:rsidR="0065170A" w:rsidRPr="00227C94" w:rsidRDefault="0065170A" w:rsidP="0065170A">
            <w:pPr>
              <w:pStyle w:val="tblText05"/>
              <w:ind w:left="113"/>
              <w:rPr>
                <w:lang w:val="en-US"/>
              </w:rPr>
            </w:pPr>
            <w:r w:rsidRPr="00227C94">
              <w:rPr>
                <w:lang w:val="en-US"/>
              </w:rPr>
              <w:t>+ Impairment of property, plant and equipment</w:t>
            </w:r>
          </w:p>
        </w:tc>
        <w:tc>
          <w:tcPr>
            <w:tcW w:w="1417" w:type="dxa"/>
            <w:tcBorders>
              <w:top w:val="nil"/>
              <w:left w:val="nil"/>
              <w:bottom w:val="nil"/>
              <w:right w:val="nil"/>
            </w:tcBorders>
            <w:vAlign w:val="bottom"/>
          </w:tcPr>
          <w:p w:rsidR="0065170A" w:rsidRPr="00227C94" w:rsidRDefault="0065170A" w:rsidP="0065170A">
            <w:pPr>
              <w:pStyle w:val="tblNumber01"/>
            </w:pPr>
            <w:r w:rsidRPr="00227C94">
              <w:t>17,559</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22,744</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(23)</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78,209</w:t>
            </w:r>
          </w:p>
        </w:tc>
      </w:tr>
      <w:tr w:rsidR="0065170A" w:rsidRPr="00227C94" w:rsidTr="0065170A">
        <w:trPr>
          <w:cantSplit/>
        </w:trPr>
        <w:tc>
          <w:tcPr>
            <w:tcW w:w="2928" w:type="dxa"/>
            <w:tcBorders>
              <w:top w:val="nil"/>
              <w:left w:val="nil"/>
              <w:bottom w:val="nil"/>
              <w:right w:val="nil"/>
            </w:tcBorders>
            <w:vAlign w:val="center"/>
          </w:tcPr>
          <w:p w:rsidR="0065170A" w:rsidRPr="00227C94" w:rsidRDefault="0065170A" w:rsidP="0065170A">
            <w:pPr>
              <w:pStyle w:val="tblText05"/>
              <w:ind w:left="113"/>
              <w:rPr>
                <w:lang w:val="en-US"/>
              </w:rPr>
            </w:pPr>
            <w:r w:rsidRPr="00227C94">
              <w:rPr>
                <w:lang w:val="en-US"/>
              </w:rPr>
              <w:t>+ Change in fair value of derivative</w:t>
            </w:r>
          </w:p>
        </w:tc>
        <w:tc>
          <w:tcPr>
            <w:tcW w:w="1417" w:type="dxa"/>
            <w:tcBorders>
              <w:top w:val="nil"/>
              <w:left w:val="nil"/>
              <w:bottom w:val="nil"/>
              <w:right w:val="nil"/>
            </w:tcBorders>
            <w:vAlign w:val="bottom"/>
          </w:tcPr>
          <w:p w:rsidR="0065170A" w:rsidRPr="00227C94" w:rsidRDefault="0065170A" w:rsidP="0065170A">
            <w:pPr>
              <w:pStyle w:val="tblNumberDash"/>
            </w:pPr>
            <w:r w:rsidRPr="00227C94">
              <w:t>-</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8,661</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(100)</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8,661</w:t>
            </w:r>
          </w:p>
        </w:tc>
      </w:tr>
      <w:tr w:rsidR="0065170A" w:rsidRPr="00227C94" w:rsidTr="0065170A">
        <w:trPr>
          <w:cantSplit/>
        </w:trPr>
        <w:tc>
          <w:tcPr>
            <w:tcW w:w="2928" w:type="dxa"/>
            <w:tcBorders>
              <w:top w:val="nil"/>
              <w:left w:val="nil"/>
              <w:bottom w:val="nil"/>
              <w:right w:val="nil"/>
            </w:tcBorders>
            <w:vAlign w:val="center"/>
          </w:tcPr>
          <w:p w:rsidR="0065170A" w:rsidRPr="00227C94" w:rsidRDefault="0065170A" w:rsidP="0065170A">
            <w:pPr>
              <w:pStyle w:val="tblText05"/>
              <w:ind w:left="113"/>
              <w:rPr>
                <w:lang w:val="en-US"/>
              </w:rPr>
            </w:pPr>
            <w:r w:rsidRPr="00227C94">
              <w:rPr>
                <w:lang w:val="en-US"/>
              </w:rPr>
              <w:t>- Gain on disposal of subsidiaries</w:t>
            </w:r>
          </w:p>
        </w:tc>
        <w:tc>
          <w:tcPr>
            <w:tcW w:w="1417" w:type="dxa"/>
            <w:tcBorders>
              <w:top w:val="nil"/>
              <w:left w:val="nil"/>
              <w:bottom w:val="nil"/>
              <w:right w:val="nil"/>
            </w:tcBorders>
            <w:vAlign w:val="bottom"/>
          </w:tcPr>
          <w:p w:rsidR="0065170A" w:rsidRPr="00227C94" w:rsidRDefault="0065170A" w:rsidP="0065170A">
            <w:pPr>
              <w:pStyle w:val="tblNumber00"/>
            </w:pPr>
            <w:r w:rsidRPr="00227C94">
              <w:t>(6,268)</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Dash"/>
            </w:pPr>
            <w:r w:rsidRPr="00227C94">
              <w:t>-</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Dash"/>
            </w:pPr>
            <w:r w:rsidRPr="00227C94">
              <w:t>-</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Dash"/>
            </w:pPr>
            <w:r w:rsidRPr="00227C94">
              <w:t>-</w:t>
            </w:r>
          </w:p>
        </w:tc>
      </w:tr>
      <w:tr w:rsidR="0065170A" w:rsidRPr="00227C94" w:rsidTr="0065170A">
        <w:trPr>
          <w:cantSplit/>
        </w:trPr>
        <w:tc>
          <w:tcPr>
            <w:tcW w:w="2928" w:type="dxa"/>
            <w:tcBorders>
              <w:top w:val="nil"/>
              <w:left w:val="nil"/>
              <w:bottom w:val="nil"/>
              <w:right w:val="nil"/>
            </w:tcBorders>
            <w:vAlign w:val="center"/>
          </w:tcPr>
          <w:p w:rsidR="0065170A" w:rsidRPr="00227C94" w:rsidRDefault="0065170A" w:rsidP="0065170A">
            <w:pPr>
              <w:pStyle w:val="tblText05"/>
              <w:ind w:left="113"/>
              <w:rPr>
                <w:b/>
              </w:rPr>
            </w:pPr>
            <w:r w:rsidRPr="00227C94">
              <w:rPr>
                <w:b/>
              </w:rPr>
              <w:t>Adjusted EBITDA</w:t>
            </w:r>
          </w:p>
        </w:tc>
        <w:tc>
          <w:tcPr>
            <w:tcW w:w="1417" w:type="dxa"/>
            <w:tcBorders>
              <w:top w:val="nil"/>
              <w:left w:val="nil"/>
              <w:bottom w:val="nil"/>
              <w:right w:val="nil"/>
            </w:tcBorders>
            <w:vAlign w:val="bottom"/>
          </w:tcPr>
          <w:p w:rsidR="0065170A" w:rsidRPr="00227C94" w:rsidRDefault="0065170A" w:rsidP="0065170A">
            <w:pPr>
              <w:pStyle w:val="tblNumber01"/>
              <w:rPr>
                <w:b/>
              </w:rPr>
            </w:pPr>
            <w:r w:rsidRPr="00227C94">
              <w:rPr>
                <w:b/>
              </w:rPr>
              <w:t>634,275</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rPr>
                <w:b/>
              </w:rPr>
            </w:pPr>
            <w:r w:rsidRPr="00227C94">
              <w:rPr>
                <w:b/>
              </w:rPr>
              <w:t>398,644</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rPr>
                <w:b/>
              </w:rPr>
            </w:pPr>
            <w:r w:rsidRPr="00227C94">
              <w:rPr>
                <w:b/>
              </w:rPr>
              <w:t>59</w:t>
            </w:r>
          </w:p>
        </w:tc>
        <w:tc>
          <w:tcPr>
            <w:tcW w:w="113" w:type="dxa"/>
            <w:tcBorders>
              <w:top w:val="nil"/>
              <w:left w:val="nil"/>
              <w:bottom w:val="nil"/>
              <w:right w:val="nil"/>
            </w:tcBorders>
            <w:vAlign w:val="bottom"/>
          </w:tcPr>
          <w:p w:rsidR="0065170A" w:rsidRPr="00227C94" w:rsidRDefault="0065170A" w:rsidP="0065170A">
            <w:pPr>
              <w:pStyle w:val="tblNumber01"/>
              <w:rPr>
                <w:b/>
              </w:rPr>
            </w:pPr>
          </w:p>
        </w:tc>
        <w:tc>
          <w:tcPr>
            <w:tcW w:w="1417" w:type="dxa"/>
            <w:tcBorders>
              <w:top w:val="nil"/>
              <w:left w:val="nil"/>
              <w:bottom w:val="nil"/>
              <w:right w:val="nil"/>
            </w:tcBorders>
            <w:vAlign w:val="bottom"/>
          </w:tcPr>
          <w:p w:rsidR="0065170A" w:rsidRPr="00227C94" w:rsidRDefault="0065170A" w:rsidP="0065170A">
            <w:pPr>
              <w:pStyle w:val="tblNumber01"/>
              <w:rPr>
                <w:b/>
              </w:rPr>
            </w:pPr>
            <w:r w:rsidRPr="00227C94">
              <w:rPr>
                <w:b/>
              </w:rPr>
              <w:t>1,110,745</w:t>
            </w:r>
          </w:p>
        </w:tc>
      </w:tr>
    </w:tbl>
    <w:p w:rsidR="00916675" w:rsidRPr="00227C94" w:rsidRDefault="00916675" w:rsidP="0065170A">
      <w:pPr>
        <w:pStyle w:val="23"/>
        <w:spacing w:line="180" w:lineRule="exact"/>
        <w:rPr>
          <w:color w:val="auto"/>
          <w:lang w:val="en-US"/>
        </w:rPr>
      </w:pPr>
    </w:p>
    <w:p w:rsidR="0065170A" w:rsidRPr="00227C94" w:rsidRDefault="0065170A" w:rsidP="0065170A">
      <w:pPr>
        <w:pStyle w:val="23"/>
        <w:spacing w:line="180" w:lineRule="exact"/>
        <w:rPr>
          <w:color w:val="auto"/>
          <w:lang w:val="en-US"/>
        </w:rPr>
      </w:pPr>
    </w:p>
    <w:p w:rsidR="00916675" w:rsidRPr="00227C94" w:rsidRDefault="00916675" w:rsidP="0065170A">
      <w:pPr>
        <w:pStyle w:val="23"/>
        <w:rPr>
          <w:color w:val="auto"/>
          <w:lang w:val="en-US"/>
        </w:rPr>
      </w:pPr>
      <w:bookmarkStart w:id="261" w:name="_DV_M260"/>
      <w:bookmarkEnd w:id="261"/>
      <w:r w:rsidRPr="00227C94">
        <w:rPr>
          <w:color w:val="auto"/>
          <w:lang w:val="en-US"/>
        </w:rPr>
        <w:lastRenderedPageBreak/>
        <w:t>The Group’s Adjusted EBITDA in the first half of 2012 was USD634</w:t>
      </w:r>
      <w:proofErr w:type="gramStart"/>
      <w:r w:rsidRPr="00227C94">
        <w:rPr>
          <w:color w:val="auto"/>
          <w:lang w:val="en-US"/>
        </w:rPr>
        <w:t>,275</w:t>
      </w:r>
      <w:proofErr w:type="gramEnd"/>
      <w:r w:rsidRPr="00227C94">
        <w:rPr>
          <w:color w:val="auto"/>
          <w:lang w:val="en-US"/>
        </w:rPr>
        <w:t xml:space="preserve"> thousand, compared to USD398,644 thousand in the first half of 2011.The increase of 59% over the levels of the first half of 2011 reflects higher realised gold prices combined with the increased sales volumes.</w:t>
      </w:r>
    </w:p>
    <w:p w:rsidR="00916675" w:rsidRPr="00227C94" w:rsidRDefault="0065170A" w:rsidP="0065170A">
      <w:pPr>
        <w:pStyle w:val="22"/>
        <w:rPr>
          <w:lang w:val="en-US"/>
        </w:rPr>
      </w:pPr>
      <w:bookmarkStart w:id="262" w:name="_DV_M261"/>
      <w:bookmarkStart w:id="263" w:name="_Toc303889392"/>
      <w:bookmarkStart w:id="264" w:name="_Toc304205608"/>
      <w:bookmarkEnd w:id="262"/>
      <w:r w:rsidRPr="00227C94">
        <w:rPr>
          <w:lang w:val="en-US"/>
        </w:rPr>
        <w:br w:type="page"/>
      </w:r>
      <w:r w:rsidR="00916675" w:rsidRPr="00227C94">
        <w:lastRenderedPageBreak/>
        <w:t>3.2 Total cash costs</w:t>
      </w:r>
      <w:bookmarkEnd w:id="263"/>
      <w:bookmarkEnd w:id="264"/>
    </w:p>
    <w:p w:rsidR="0065170A" w:rsidRPr="00227C94" w:rsidRDefault="0065170A" w:rsidP="0065170A">
      <w:pPr>
        <w:pStyle w:val="23"/>
        <w:rPr>
          <w:color w:val="auto"/>
          <w:lang w:val="en-US"/>
        </w:rPr>
      </w:pPr>
    </w:p>
    <w:p w:rsidR="00916675" w:rsidRPr="00227C94" w:rsidRDefault="00916675" w:rsidP="0065170A">
      <w:pPr>
        <w:pStyle w:val="23"/>
        <w:rPr>
          <w:color w:val="auto"/>
          <w:lang w:val="en-US"/>
        </w:rPr>
      </w:pPr>
      <w:bookmarkStart w:id="265" w:name="_DV_M262"/>
      <w:bookmarkEnd w:id="265"/>
      <w:r w:rsidRPr="00227C94">
        <w:rPr>
          <w:color w:val="auto"/>
          <w:spacing w:val="-2"/>
          <w:lang w:val="en-US"/>
        </w:rPr>
        <w:t xml:space="preserve">The Group presents the financial items “total cash costs” (“TCC”) and “total cash costs per troy ounce” which have been calculated and presented by management as TCC presentation is common industry </w:t>
      </w:r>
      <w:r w:rsidRPr="00227C94">
        <w:rPr>
          <w:color w:val="auto"/>
          <w:lang w:val="en-US"/>
        </w:rPr>
        <w:t xml:space="preserve">practice, although its calculations of these items may differ from those of its industry peers. These </w:t>
      </w:r>
      <w:r w:rsidRPr="00227C94">
        <w:rPr>
          <w:color w:val="auto"/>
          <w:spacing w:val="-4"/>
          <w:lang w:val="en-US"/>
        </w:rPr>
        <w:t xml:space="preserve">items are non IFRS measures. An investor should not consider these items in isolation or as alternatives to cost of sales, profit for the year attributable to shareholders of the parent company, net cash generated </w:t>
      </w:r>
      <w:r w:rsidRPr="00227C94">
        <w:rPr>
          <w:color w:val="auto"/>
          <w:lang w:val="en-US"/>
        </w:rPr>
        <w:t>from operating activities or any other measure of financial performance presented in accordance with IFRS.</w:t>
      </w:r>
    </w:p>
    <w:p w:rsidR="0065170A" w:rsidRPr="00227C94" w:rsidRDefault="0065170A" w:rsidP="0065170A">
      <w:pPr>
        <w:pStyle w:val="23"/>
        <w:rPr>
          <w:color w:val="auto"/>
          <w:lang w:val="en-US"/>
        </w:rPr>
      </w:pPr>
    </w:p>
    <w:p w:rsidR="00916675" w:rsidRPr="00227C94" w:rsidRDefault="00916675" w:rsidP="0065170A">
      <w:pPr>
        <w:pStyle w:val="23"/>
        <w:rPr>
          <w:color w:val="auto"/>
          <w:lang w:val="en-US"/>
        </w:rPr>
      </w:pPr>
      <w:bookmarkStart w:id="266" w:name="_DV_M263"/>
      <w:bookmarkEnd w:id="266"/>
      <w:r w:rsidRPr="00227C94">
        <w:rPr>
          <w:color w:val="auto"/>
          <w:lang w:val="en-US"/>
        </w:rPr>
        <w:t xml:space="preserve">Total cash costs per troy ounce are the total attributable cash costs divided by the </w:t>
      </w:r>
      <w:proofErr w:type="gramStart"/>
      <w:r w:rsidRPr="00227C94">
        <w:rPr>
          <w:color w:val="auto"/>
          <w:lang w:val="en-US"/>
        </w:rPr>
        <w:t>attributable</w:t>
      </w:r>
      <w:proofErr w:type="gramEnd"/>
      <w:r w:rsidRPr="00227C94">
        <w:rPr>
          <w:color w:val="auto"/>
          <w:lang w:val="en-US"/>
        </w:rPr>
        <w:t xml:space="preserve"> troy ounce of gold sold during the period.</w:t>
      </w:r>
    </w:p>
    <w:p w:rsidR="0065170A" w:rsidRPr="00227C94" w:rsidRDefault="0065170A" w:rsidP="0065170A">
      <w:pPr>
        <w:pStyle w:val="23"/>
        <w:rPr>
          <w:color w:val="auto"/>
          <w:lang w:val="en-US"/>
        </w:rPr>
      </w:pPr>
    </w:p>
    <w:p w:rsidR="00916675" w:rsidRPr="00227C94" w:rsidRDefault="00916675" w:rsidP="0065170A">
      <w:pPr>
        <w:pStyle w:val="23"/>
        <w:rPr>
          <w:color w:val="auto"/>
          <w:lang w:val="en-US"/>
        </w:rPr>
      </w:pPr>
      <w:bookmarkStart w:id="267" w:name="_DV_M265"/>
      <w:bookmarkEnd w:id="267"/>
      <w:r w:rsidRPr="00227C94">
        <w:rPr>
          <w:color w:val="auto"/>
          <w:lang w:val="en-US"/>
        </w:rPr>
        <w:t>The following table shows the Group’s TCC for the six months ended 30 June 2012 and 2011, and for the year ended 31 December 2011:</w:t>
      </w:r>
    </w:p>
    <w:p w:rsidR="0065170A" w:rsidRPr="00227C94" w:rsidRDefault="0065170A" w:rsidP="0065170A">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2928"/>
        <w:gridCol w:w="1417"/>
        <w:gridCol w:w="113"/>
        <w:gridCol w:w="1417"/>
        <w:gridCol w:w="113"/>
        <w:gridCol w:w="1417"/>
        <w:gridCol w:w="113"/>
        <w:gridCol w:w="1417"/>
      </w:tblGrid>
      <w:tr w:rsidR="0065170A" w:rsidRPr="00227C94" w:rsidTr="00A701F4">
        <w:trPr>
          <w:cantSplit/>
        </w:trPr>
        <w:tc>
          <w:tcPr>
            <w:tcW w:w="2928" w:type="dxa"/>
            <w:tcBorders>
              <w:top w:val="nil"/>
              <w:left w:val="nil"/>
              <w:bottom w:val="nil"/>
              <w:right w:val="nil"/>
            </w:tcBorders>
            <w:vAlign w:val="bottom"/>
          </w:tcPr>
          <w:p w:rsidR="0065170A" w:rsidRPr="00227C94" w:rsidRDefault="0065170A" w:rsidP="0065170A">
            <w:pPr>
              <w:pStyle w:val="tblHeaderText"/>
              <w:jc w:val="left"/>
            </w:pPr>
            <w:bookmarkStart w:id="268" w:name="_DV_M266"/>
            <w:bookmarkEnd w:id="268"/>
            <w:r w:rsidRPr="00227C94">
              <w:t xml:space="preserve">USD’000, </w:t>
            </w:r>
          </w:p>
        </w:tc>
        <w:tc>
          <w:tcPr>
            <w:tcW w:w="2947" w:type="dxa"/>
            <w:gridSpan w:val="3"/>
            <w:tcBorders>
              <w:top w:val="nil"/>
              <w:left w:val="nil"/>
              <w:bottom w:val="single" w:sz="6" w:space="0" w:color="auto"/>
              <w:right w:val="nil"/>
            </w:tcBorders>
            <w:shd w:val="clear" w:color="auto" w:fill="auto"/>
            <w:vAlign w:val="bottom"/>
          </w:tcPr>
          <w:p w:rsidR="0065170A" w:rsidRPr="00227C94" w:rsidRDefault="0065170A" w:rsidP="0065170A">
            <w:pPr>
              <w:pStyle w:val="tblHeaderText"/>
            </w:pPr>
            <w:r w:rsidRPr="00227C94">
              <w:t>Six months ended 30 June</w:t>
            </w:r>
          </w:p>
        </w:tc>
        <w:tc>
          <w:tcPr>
            <w:tcW w:w="113" w:type="dxa"/>
            <w:tcBorders>
              <w:top w:val="nil"/>
              <w:left w:val="nil"/>
              <w:bottom w:val="nil"/>
              <w:right w:val="nil"/>
            </w:tcBorders>
            <w:vAlign w:val="bottom"/>
          </w:tcPr>
          <w:p w:rsidR="0065170A" w:rsidRPr="00227C94" w:rsidRDefault="0065170A" w:rsidP="0065170A">
            <w:pPr>
              <w:pStyle w:val="tblHeaderText"/>
            </w:pPr>
          </w:p>
        </w:tc>
        <w:tc>
          <w:tcPr>
            <w:tcW w:w="1417" w:type="dxa"/>
            <w:tcBorders>
              <w:top w:val="nil"/>
              <w:left w:val="nil"/>
              <w:right w:val="nil"/>
            </w:tcBorders>
            <w:vAlign w:val="bottom"/>
          </w:tcPr>
          <w:p w:rsidR="003443ED" w:rsidRPr="00227C94" w:rsidRDefault="0065170A" w:rsidP="0065170A">
            <w:pPr>
              <w:pStyle w:val="tblHeaderText"/>
              <w:rPr>
                <w:lang w:val="en-US"/>
              </w:rPr>
            </w:pPr>
            <w:r w:rsidRPr="00227C94">
              <w:t xml:space="preserve">% </w:t>
            </w:r>
          </w:p>
          <w:p w:rsidR="0065170A" w:rsidRPr="00227C94" w:rsidRDefault="0065170A" w:rsidP="0065170A">
            <w:pPr>
              <w:pStyle w:val="tblHeaderText"/>
            </w:pPr>
            <w:r w:rsidRPr="00227C94">
              <w:t>change</w:t>
            </w:r>
          </w:p>
        </w:tc>
        <w:tc>
          <w:tcPr>
            <w:tcW w:w="113" w:type="dxa"/>
            <w:tcBorders>
              <w:top w:val="nil"/>
              <w:left w:val="nil"/>
              <w:bottom w:val="nil"/>
              <w:right w:val="nil"/>
            </w:tcBorders>
            <w:vAlign w:val="bottom"/>
          </w:tcPr>
          <w:p w:rsidR="0065170A" w:rsidRPr="00227C94" w:rsidRDefault="0065170A" w:rsidP="0065170A">
            <w:pPr>
              <w:pStyle w:val="tblHeaderText"/>
            </w:pPr>
          </w:p>
        </w:tc>
        <w:tc>
          <w:tcPr>
            <w:tcW w:w="1417" w:type="dxa"/>
            <w:tcBorders>
              <w:top w:val="nil"/>
              <w:left w:val="nil"/>
              <w:right w:val="nil"/>
            </w:tcBorders>
            <w:vAlign w:val="bottom"/>
          </w:tcPr>
          <w:p w:rsidR="0065170A" w:rsidRPr="00227C94" w:rsidRDefault="0065170A" w:rsidP="0065170A">
            <w:pPr>
              <w:pStyle w:val="tblHeaderText"/>
            </w:pPr>
            <w:r w:rsidRPr="00227C94">
              <w:t xml:space="preserve">Year ended </w:t>
            </w:r>
            <w:r w:rsidRPr="00227C94">
              <w:rPr>
                <w:lang w:val="en-US"/>
              </w:rPr>
              <w:br/>
            </w:r>
            <w:r w:rsidRPr="00227C94">
              <w:t>31 December</w:t>
            </w:r>
          </w:p>
        </w:tc>
      </w:tr>
      <w:tr w:rsidR="0065170A" w:rsidRPr="00227C94" w:rsidTr="00A701F4">
        <w:trPr>
          <w:cantSplit/>
        </w:trPr>
        <w:tc>
          <w:tcPr>
            <w:tcW w:w="2928" w:type="dxa"/>
            <w:tcBorders>
              <w:top w:val="nil"/>
              <w:left w:val="nil"/>
              <w:bottom w:val="nil"/>
              <w:right w:val="nil"/>
            </w:tcBorders>
          </w:tcPr>
          <w:p w:rsidR="0065170A" w:rsidRPr="00227C94" w:rsidRDefault="0065170A" w:rsidP="0065170A">
            <w:pPr>
              <w:pStyle w:val="tblHeaderText"/>
              <w:jc w:val="left"/>
            </w:pPr>
            <w:r w:rsidRPr="00227C94">
              <w:t>unless otherwise indicate</w:t>
            </w:r>
          </w:p>
        </w:tc>
        <w:tc>
          <w:tcPr>
            <w:tcW w:w="1417" w:type="dxa"/>
            <w:tcBorders>
              <w:top w:val="single" w:sz="6" w:space="0" w:color="auto"/>
              <w:left w:val="nil"/>
              <w:bottom w:val="single" w:sz="6" w:space="0" w:color="auto"/>
              <w:right w:val="nil"/>
            </w:tcBorders>
            <w:shd w:val="clear" w:color="auto" w:fill="auto"/>
          </w:tcPr>
          <w:p w:rsidR="0065170A" w:rsidRPr="00227C94" w:rsidRDefault="0065170A" w:rsidP="00690257">
            <w:pPr>
              <w:pStyle w:val="tblHeaderText"/>
            </w:pPr>
            <w:r w:rsidRPr="00227C94">
              <w:t>2012</w:t>
            </w:r>
          </w:p>
        </w:tc>
        <w:tc>
          <w:tcPr>
            <w:tcW w:w="113" w:type="dxa"/>
            <w:tcBorders>
              <w:top w:val="single" w:sz="6" w:space="0" w:color="auto"/>
              <w:left w:val="nil"/>
              <w:bottom w:val="nil"/>
              <w:right w:val="nil"/>
            </w:tcBorders>
            <w:shd w:val="clear" w:color="auto" w:fill="auto"/>
          </w:tcPr>
          <w:p w:rsidR="0065170A" w:rsidRPr="00227C94" w:rsidRDefault="0065170A" w:rsidP="00690257">
            <w:pPr>
              <w:pStyle w:val="tblHeaderText"/>
            </w:pPr>
          </w:p>
        </w:tc>
        <w:tc>
          <w:tcPr>
            <w:tcW w:w="1417" w:type="dxa"/>
            <w:tcBorders>
              <w:top w:val="single" w:sz="6" w:space="0" w:color="auto"/>
              <w:left w:val="nil"/>
              <w:bottom w:val="single" w:sz="6" w:space="0" w:color="auto"/>
              <w:right w:val="nil"/>
            </w:tcBorders>
            <w:shd w:val="clear" w:color="auto" w:fill="auto"/>
          </w:tcPr>
          <w:p w:rsidR="0065170A" w:rsidRPr="00227C94" w:rsidRDefault="0065170A" w:rsidP="00690257">
            <w:pPr>
              <w:pStyle w:val="tblHeaderText"/>
            </w:pPr>
            <w:r w:rsidRPr="00227C94">
              <w:t>2011</w:t>
            </w:r>
          </w:p>
        </w:tc>
        <w:tc>
          <w:tcPr>
            <w:tcW w:w="113" w:type="dxa"/>
            <w:tcBorders>
              <w:top w:val="nil"/>
              <w:left w:val="nil"/>
              <w:right w:val="nil"/>
            </w:tcBorders>
          </w:tcPr>
          <w:p w:rsidR="0065170A" w:rsidRPr="00227C94" w:rsidRDefault="0065170A" w:rsidP="00690257">
            <w:pPr>
              <w:pStyle w:val="tblHeaderText"/>
            </w:pPr>
          </w:p>
        </w:tc>
        <w:tc>
          <w:tcPr>
            <w:tcW w:w="1417" w:type="dxa"/>
            <w:tcBorders>
              <w:top w:val="nil"/>
              <w:left w:val="nil"/>
              <w:bottom w:val="single" w:sz="6" w:space="0" w:color="auto"/>
              <w:right w:val="nil"/>
            </w:tcBorders>
            <w:shd w:val="clear" w:color="auto" w:fill="auto"/>
          </w:tcPr>
          <w:p w:rsidR="0065170A" w:rsidRPr="00227C94" w:rsidRDefault="0065170A" w:rsidP="00690257">
            <w:pPr>
              <w:pStyle w:val="tblHeaderText"/>
            </w:pPr>
            <w:r w:rsidRPr="00227C94">
              <w:t>p-o-p</w:t>
            </w:r>
          </w:p>
        </w:tc>
        <w:tc>
          <w:tcPr>
            <w:tcW w:w="113" w:type="dxa"/>
            <w:tcBorders>
              <w:top w:val="nil"/>
              <w:left w:val="nil"/>
              <w:right w:val="nil"/>
            </w:tcBorders>
          </w:tcPr>
          <w:p w:rsidR="0065170A" w:rsidRPr="00227C94" w:rsidRDefault="0065170A" w:rsidP="00690257">
            <w:pPr>
              <w:pStyle w:val="tblHeaderText"/>
            </w:pPr>
          </w:p>
        </w:tc>
        <w:tc>
          <w:tcPr>
            <w:tcW w:w="1417" w:type="dxa"/>
            <w:tcBorders>
              <w:top w:val="nil"/>
              <w:left w:val="nil"/>
              <w:bottom w:val="single" w:sz="6" w:space="0" w:color="auto"/>
              <w:right w:val="nil"/>
            </w:tcBorders>
            <w:shd w:val="clear" w:color="auto" w:fill="auto"/>
          </w:tcPr>
          <w:p w:rsidR="0065170A" w:rsidRPr="00227C94" w:rsidRDefault="0065170A" w:rsidP="00690257">
            <w:pPr>
              <w:pStyle w:val="tblHeaderText"/>
            </w:pPr>
            <w:r w:rsidRPr="00227C94">
              <w:t>2011</w:t>
            </w:r>
          </w:p>
        </w:tc>
      </w:tr>
      <w:tr w:rsidR="0065170A" w:rsidRPr="00227C94" w:rsidTr="00A701F4">
        <w:trPr>
          <w:cantSplit/>
        </w:trPr>
        <w:tc>
          <w:tcPr>
            <w:tcW w:w="2928" w:type="dxa"/>
            <w:tcBorders>
              <w:top w:val="nil"/>
              <w:left w:val="nil"/>
              <w:bottom w:val="nil"/>
              <w:right w:val="nil"/>
            </w:tcBorders>
          </w:tcPr>
          <w:p w:rsidR="0065170A" w:rsidRPr="00227C94" w:rsidRDefault="0065170A" w:rsidP="0065170A">
            <w:pPr>
              <w:pStyle w:val="tblHeaderText"/>
              <w:jc w:val="left"/>
            </w:pPr>
          </w:p>
        </w:tc>
        <w:tc>
          <w:tcPr>
            <w:tcW w:w="1417" w:type="dxa"/>
            <w:tcBorders>
              <w:top w:val="single" w:sz="6" w:space="0" w:color="auto"/>
              <w:left w:val="nil"/>
              <w:bottom w:val="nil"/>
              <w:right w:val="nil"/>
            </w:tcBorders>
            <w:shd w:val="clear" w:color="auto" w:fill="auto"/>
          </w:tcPr>
          <w:p w:rsidR="0065170A" w:rsidRPr="00227C94" w:rsidRDefault="0065170A" w:rsidP="0065170A">
            <w:pPr>
              <w:pStyle w:val="tblHeaderText"/>
            </w:pPr>
          </w:p>
        </w:tc>
        <w:tc>
          <w:tcPr>
            <w:tcW w:w="113" w:type="dxa"/>
            <w:tcBorders>
              <w:top w:val="nil"/>
              <w:left w:val="nil"/>
              <w:bottom w:val="nil"/>
              <w:right w:val="nil"/>
            </w:tcBorders>
          </w:tcPr>
          <w:p w:rsidR="0065170A" w:rsidRPr="00227C94" w:rsidRDefault="0065170A" w:rsidP="0065170A">
            <w:pPr>
              <w:pStyle w:val="tblHeaderText"/>
            </w:pPr>
          </w:p>
        </w:tc>
        <w:tc>
          <w:tcPr>
            <w:tcW w:w="1417" w:type="dxa"/>
            <w:tcBorders>
              <w:top w:val="single" w:sz="6" w:space="0" w:color="auto"/>
              <w:left w:val="nil"/>
              <w:bottom w:val="nil"/>
              <w:right w:val="nil"/>
            </w:tcBorders>
            <w:shd w:val="clear" w:color="auto" w:fill="auto"/>
          </w:tcPr>
          <w:p w:rsidR="0065170A" w:rsidRPr="00227C94" w:rsidRDefault="0065170A" w:rsidP="0065170A">
            <w:pPr>
              <w:pStyle w:val="tblHeaderText"/>
            </w:pPr>
          </w:p>
        </w:tc>
        <w:tc>
          <w:tcPr>
            <w:tcW w:w="113" w:type="dxa"/>
            <w:tcBorders>
              <w:left w:val="nil"/>
              <w:bottom w:val="nil"/>
              <w:right w:val="nil"/>
            </w:tcBorders>
            <w:shd w:val="clear" w:color="auto" w:fill="auto"/>
          </w:tcPr>
          <w:p w:rsidR="0065170A" w:rsidRPr="00227C94" w:rsidRDefault="0065170A" w:rsidP="0065170A">
            <w:pPr>
              <w:pStyle w:val="tblHeaderText"/>
            </w:pPr>
          </w:p>
        </w:tc>
        <w:tc>
          <w:tcPr>
            <w:tcW w:w="1417" w:type="dxa"/>
            <w:tcBorders>
              <w:top w:val="single" w:sz="6" w:space="0" w:color="auto"/>
              <w:left w:val="nil"/>
              <w:bottom w:val="nil"/>
              <w:right w:val="nil"/>
            </w:tcBorders>
            <w:shd w:val="clear" w:color="auto" w:fill="auto"/>
          </w:tcPr>
          <w:p w:rsidR="0065170A" w:rsidRPr="00227C94" w:rsidRDefault="0065170A" w:rsidP="0065170A">
            <w:pPr>
              <w:pStyle w:val="tblHeaderText"/>
            </w:pPr>
          </w:p>
        </w:tc>
        <w:tc>
          <w:tcPr>
            <w:tcW w:w="113" w:type="dxa"/>
            <w:tcBorders>
              <w:left w:val="nil"/>
              <w:bottom w:val="nil"/>
              <w:right w:val="nil"/>
            </w:tcBorders>
            <w:shd w:val="clear" w:color="auto" w:fill="auto"/>
          </w:tcPr>
          <w:p w:rsidR="0065170A" w:rsidRPr="00227C94" w:rsidRDefault="0065170A" w:rsidP="0065170A">
            <w:pPr>
              <w:pStyle w:val="tblHeaderText"/>
            </w:pPr>
          </w:p>
        </w:tc>
        <w:tc>
          <w:tcPr>
            <w:tcW w:w="1417" w:type="dxa"/>
            <w:tcBorders>
              <w:top w:val="single" w:sz="6" w:space="0" w:color="auto"/>
              <w:left w:val="nil"/>
              <w:bottom w:val="nil"/>
              <w:right w:val="nil"/>
            </w:tcBorders>
            <w:shd w:val="clear" w:color="auto" w:fill="auto"/>
          </w:tcPr>
          <w:p w:rsidR="0065170A" w:rsidRPr="00227C94" w:rsidRDefault="0065170A" w:rsidP="0065170A">
            <w:pPr>
              <w:pStyle w:val="tblHeaderText"/>
            </w:pPr>
          </w:p>
        </w:tc>
      </w:tr>
      <w:tr w:rsidR="0065170A" w:rsidRPr="00227C94" w:rsidTr="0065170A">
        <w:trPr>
          <w:cantSplit/>
        </w:trPr>
        <w:tc>
          <w:tcPr>
            <w:tcW w:w="2928" w:type="dxa"/>
            <w:tcBorders>
              <w:top w:val="nil"/>
              <w:left w:val="nil"/>
              <w:bottom w:val="nil"/>
              <w:right w:val="nil"/>
            </w:tcBorders>
          </w:tcPr>
          <w:p w:rsidR="0065170A" w:rsidRPr="00227C94" w:rsidRDefault="0065170A" w:rsidP="0065170A">
            <w:pPr>
              <w:pStyle w:val="tblText02"/>
            </w:pPr>
            <w:r w:rsidRPr="00227C94">
              <w:t>Cost of gold sales</w:t>
            </w:r>
          </w:p>
        </w:tc>
        <w:tc>
          <w:tcPr>
            <w:tcW w:w="1417" w:type="dxa"/>
            <w:tcBorders>
              <w:top w:val="nil"/>
              <w:left w:val="nil"/>
              <w:bottom w:val="nil"/>
              <w:right w:val="nil"/>
            </w:tcBorders>
            <w:vAlign w:val="bottom"/>
          </w:tcPr>
          <w:p w:rsidR="0065170A" w:rsidRPr="00227C94" w:rsidRDefault="0065170A" w:rsidP="0065170A">
            <w:pPr>
              <w:pStyle w:val="tblNumber01"/>
            </w:pPr>
            <w:r w:rsidRPr="00227C94">
              <w:t>569,030</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478,053</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19</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1,162,019</w:t>
            </w:r>
          </w:p>
        </w:tc>
      </w:tr>
      <w:tr w:rsidR="0065170A" w:rsidRPr="00227C94" w:rsidTr="0065170A">
        <w:trPr>
          <w:cantSplit/>
        </w:trPr>
        <w:tc>
          <w:tcPr>
            <w:tcW w:w="2928" w:type="dxa"/>
            <w:tcBorders>
              <w:top w:val="nil"/>
              <w:left w:val="nil"/>
              <w:bottom w:val="nil"/>
              <w:right w:val="nil"/>
            </w:tcBorders>
          </w:tcPr>
          <w:p w:rsidR="0065170A" w:rsidRPr="00227C94" w:rsidRDefault="0065170A" w:rsidP="0065170A">
            <w:pPr>
              <w:pStyle w:val="tblText02"/>
              <w:rPr>
                <w:lang w:val="en-US"/>
              </w:rPr>
            </w:pPr>
            <w:r w:rsidRPr="00227C94">
              <w:rPr>
                <w:lang w:val="en-US"/>
              </w:rPr>
              <w:t>- property, plant and equipment depreciation</w:t>
            </w:r>
          </w:p>
        </w:tc>
        <w:tc>
          <w:tcPr>
            <w:tcW w:w="1417" w:type="dxa"/>
            <w:tcBorders>
              <w:top w:val="nil"/>
              <w:left w:val="nil"/>
              <w:bottom w:val="nil"/>
              <w:right w:val="nil"/>
            </w:tcBorders>
            <w:vAlign w:val="bottom"/>
          </w:tcPr>
          <w:p w:rsidR="0065170A" w:rsidRPr="00227C94" w:rsidRDefault="0065170A" w:rsidP="0065170A">
            <w:pPr>
              <w:pStyle w:val="tblNumber00"/>
            </w:pPr>
            <w:r w:rsidRPr="00227C94">
              <w:t>(84,137)</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(89,847)</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(6)</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(181,935)</w:t>
            </w:r>
          </w:p>
        </w:tc>
      </w:tr>
      <w:tr w:rsidR="0065170A" w:rsidRPr="00227C94" w:rsidTr="0065170A">
        <w:trPr>
          <w:cantSplit/>
        </w:trPr>
        <w:tc>
          <w:tcPr>
            <w:tcW w:w="2928" w:type="dxa"/>
            <w:tcBorders>
              <w:top w:val="nil"/>
              <w:left w:val="nil"/>
              <w:bottom w:val="nil"/>
              <w:right w:val="nil"/>
            </w:tcBorders>
          </w:tcPr>
          <w:p w:rsidR="0065170A" w:rsidRPr="00227C94" w:rsidRDefault="0065170A" w:rsidP="0065170A">
            <w:pPr>
              <w:pStyle w:val="tblText02"/>
              <w:rPr>
                <w:lang w:val="en-US"/>
              </w:rPr>
            </w:pPr>
            <w:r w:rsidRPr="00227C94">
              <w:rPr>
                <w:lang w:val="en-US"/>
              </w:rPr>
              <w:t>- provision for annual vacation payment</w:t>
            </w:r>
          </w:p>
        </w:tc>
        <w:tc>
          <w:tcPr>
            <w:tcW w:w="1417" w:type="dxa"/>
            <w:tcBorders>
              <w:top w:val="nil"/>
              <w:left w:val="nil"/>
              <w:bottom w:val="nil"/>
              <w:right w:val="nil"/>
            </w:tcBorders>
            <w:vAlign w:val="bottom"/>
          </w:tcPr>
          <w:p w:rsidR="0065170A" w:rsidRPr="00227C94" w:rsidRDefault="0065170A" w:rsidP="0065170A">
            <w:pPr>
              <w:pStyle w:val="tblNumber00"/>
            </w:pPr>
            <w:r w:rsidRPr="00227C94">
              <w:t>(3,202)</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(5,299)</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(40)</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(3,774)</w:t>
            </w:r>
          </w:p>
        </w:tc>
      </w:tr>
      <w:tr w:rsidR="0065170A" w:rsidRPr="00227C94" w:rsidTr="0065170A">
        <w:trPr>
          <w:cantSplit/>
        </w:trPr>
        <w:tc>
          <w:tcPr>
            <w:tcW w:w="2928" w:type="dxa"/>
            <w:tcBorders>
              <w:top w:val="nil"/>
              <w:left w:val="nil"/>
              <w:bottom w:val="nil"/>
              <w:right w:val="nil"/>
            </w:tcBorders>
          </w:tcPr>
          <w:p w:rsidR="0065170A" w:rsidRPr="00227C94" w:rsidRDefault="0065170A" w:rsidP="0065170A">
            <w:pPr>
              <w:pStyle w:val="tblText02"/>
            </w:pPr>
            <w:r w:rsidRPr="00227C94">
              <w:t>- employee benefit obligations cost</w:t>
            </w:r>
          </w:p>
        </w:tc>
        <w:tc>
          <w:tcPr>
            <w:tcW w:w="1417" w:type="dxa"/>
            <w:tcBorders>
              <w:top w:val="nil"/>
              <w:left w:val="nil"/>
              <w:bottom w:val="nil"/>
              <w:right w:val="nil"/>
            </w:tcBorders>
            <w:vAlign w:val="bottom"/>
          </w:tcPr>
          <w:p w:rsidR="0065170A" w:rsidRPr="00227C94" w:rsidRDefault="0065170A" w:rsidP="0065170A">
            <w:pPr>
              <w:pStyle w:val="tblNumber00"/>
            </w:pPr>
            <w:r w:rsidRPr="00227C94">
              <w:t>(1,697)</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(2,184)</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(22)</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(1,620)</w:t>
            </w:r>
          </w:p>
        </w:tc>
      </w:tr>
      <w:tr w:rsidR="0065170A" w:rsidRPr="00227C94" w:rsidTr="0065170A">
        <w:trPr>
          <w:cantSplit/>
        </w:trPr>
        <w:tc>
          <w:tcPr>
            <w:tcW w:w="2928" w:type="dxa"/>
            <w:tcBorders>
              <w:top w:val="nil"/>
              <w:left w:val="nil"/>
              <w:bottom w:val="nil"/>
              <w:right w:val="nil"/>
            </w:tcBorders>
          </w:tcPr>
          <w:p w:rsidR="0065170A" w:rsidRPr="00227C94" w:rsidRDefault="0065170A" w:rsidP="0065170A">
            <w:pPr>
              <w:pStyle w:val="tblText02"/>
              <w:rPr>
                <w:lang w:val="en-US"/>
              </w:rPr>
            </w:pPr>
            <w:r w:rsidRPr="00227C94">
              <w:rPr>
                <w:lang w:val="en-US"/>
              </w:rPr>
              <w:t>- change in allowance for obsolescence of inventory</w:t>
            </w:r>
          </w:p>
        </w:tc>
        <w:tc>
          <w:tcPr>
            <w:tcW w:w="1417" w:type="dxa"/>
            <w:tcBorders>
              <w:top w:val="nil"/>
              <w:left w:val="nil"/>
              <w:bottom w:val="nil"/>
              <w:right w:val="nil"/>
            </w:tcBorders>
            <w:vAlign w:val="bottom"/>
          </w:tcPr>
          <w:p w:rsidR="0065170A" w:rsidRPr="00227C94" w:rsidRDefault="0065170A" w:rsidP="0065170A">
            <w:pPr>
              <w:pStyle w:val="tblNumber01"/>
            </w:pPr>
            <w:r w:rsidRPr="00227C94">
              <w:t>3,072</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(2,189)</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(240)</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(2,819)</w:t>
            </w:r>
          </w:p>
        </w:tc>
      </w:tr>
      <w:tr w:rsidR="0065170A" w:rsidRPr="00227C94" w:rsidTr="0065170A">
        <w:trPr>
          <w:cantSplit/>
        </w:trPr>
        <w:tc>
          <w:tcPr>
            <w:tcW w:w="2928" w:type="dxa"/>
            <w:tcBorders>
              <w:top w:val="nil"/>
              <w:left w:val="nil"/>
              <w:bottom w:val="nil"/>
              <w:right w:val="nil"/>
            </w:tcBorders>
          </w:tcPr>
          <w:p w:rsidR="0065170A" w:rsidRPr="00227C94" w:rsidRDefault="0065170A" w:rsidP="0065170A">
            <w:pPr>
              <w:pStyle w:val="tblText02"/>
              <w:rPr>
                <w:vertAlign w:val="superscript"/>
                <w:lang w:val="en-US"/>
              </w:rPr>
            </w:pPr>
            <w:r w:rsidRPr="00227C94">
              <w:rPr>
                <w:lang w:val="en-US"/>
              </w:rPr>
              <w:t>+ non-monetary changes in inventories</w:t>
            </w:r>
            <w:r w:rsidRPr="00227C94">
              <w:rPr>
                <w:vertAlign w:val="superscript"/>
                <w:lang w:val="en-US"/>
              </w:rPr>
              <w:t>(1)</w:t>
            </w:r>
          </w:p>
        </w:tc>
        <w:tc>
          <w:tcPr>
            <w:tcW w:w="1417" w:type="dxa"/>
            <w:tcBorders>
              <w:top w:val="nil"/>
              <w:left w:val="nil"/>
              <w:bottom w:val="nil"/>
              <w:right w:val="nil"/>
            </w:tcBorders>
            <w:vAlign w:val="bottom"/>
          </w:tcPr>
          <w:p w:rsidR="0065170A" w:rsidRPr="00227C94" w:rsidRDefault="00BE3B13" w:rsidP="00BE3B13">
            <w:pPr>
              <w:pStyle w:val="tblNumber01"/>
            </w:pPr>
            <w:r w:rsidRPr="00227C94">
              <w:t>9,213</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12,638</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(97)</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6,795</w:t>
            </w:r>
          </w:p>
        </w:tc>
      </w:tr>
      <w:tr w:rsidR="0065170A" w:rsidRPr="00227C94" w:rsidTr="0065170A">
        <w:trPr>
          <w:cantSplit/>
        </w:trPr>
        <w:tc>
          <w:tcPr>
            <w:tcW w:w="2928" w:type="dxa"/>
            <w:tcBorders>
              <w:top w:val="nil"/>
              <w:left w:val="nil"/>
              <w:bottom w:val="nil"/>
              <w:right w:val="nil"/>
            </w:tcBorders>
          </w:tcPr>
          <w:p w:rsidR="0065170A" w:rsidRPr="00227C94" w:rsidRDefault="0065170A" w:rsidP="0065170A">
            <w:pPr>
              <w:pStyle w:val="tblText02"/>
              <w:rPr>
                <w:vertAlign w:val="superscript"/>
                <w:lang w:val="en-US"/>
              </w:rPr>
            </w:pPr>
            <w:r w:rsidRPr="00227C94">
              <w:rPr>
                <w:lang w:val="en-US"/>
              </w:rPr>
              <w:t>+ non-monetary changes in deferred stripping costs</w:t>
            </w:r>
            <w:r w:rsidRPr="00227C94">
              <w:rPr>
                <w:vertAlign w:val="superscript"/>
                <w:lang w:val="en-US"/>
              </w:rPr>
              <w:t>(2)</w:t>
            </w:r>
          </w:p>
        </w:tc>
        <w:tc>
          <w:tcPr>
            <w:tcW w:w="1417" w:type="dxa"/>
            <w:tcBorders>
              <w:top w:val="nil"/>
              <w:left w:val="nil"/>
              <w:bottom w:val="nil"/>
              <w:right w:val="nil"/>
            </w:tcBorders>
            <w:vAlign w:val="bottom"/>
          </w:tcPr>
          <w:p w:rsidR="0065170A" w:rsidRPr="00227C94" w:rsidRDefault="00BE3B13" w:rsidP="0065170A">
            <w:pPr>
              <w:pStyle w:val="tblNumber01"/>
            </w:pPr>
            <w:r w:rsidRPr="00227C94">
              <w:t>375</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(3,582)</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0"/>
            </w:pPr>
            <w:r w:rsidRPr="00227C94">
              <w:t>(357)</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1,174</w:t>
            </w:r>
          </w:p>
        </w:tc>
      </w:tr>
      <w:tr w:rsidR="0065170A" w:rsidRPr="00227C94" w:rsidTr="0065170A">
        <w:trPr>
          <w:cantSplit/>
        </w:trPr>
        <w:tc>
          <w:tcPr>
            <w:tcW w:w="2928" w:type="dxa"/>
            <w:tcBorders>
              <w:top w:val="nil"/>
              <w:left w:val="nil"/>
              <w:bottom w:val="nil"/>
              <w:right w:val="nil"/>
            </w:tcBorders>
          </w:tcPr>
          <w:p w:rsidR="0065170A" w:rsidRPr="00227C94" w:rsidRDefault="0065170A" w:rsidP="0065170A">
            <w:pPr>
              <w:pStyle w:val="tblText02"/>
              <w:rPr>
                <w:b/>
              </w:rPr>
            </w:pPr>
            <w:proofErr w:type="gramStart"/>
            <w:r w:rsidRPr="00227C94">
              <w:rPr>
                <w:b/>
              </w:rPr>
              <w:t>Т</w:t>
            </w:r>
            <w:proofErr w:type="gramEnd"/>
            <w:r w:rsidRPr="00227C94">
              <w:rPr>
                <w:b/>
              </w:rPr>
              <w:t xml:space="preserve">otal cash costs </w:t>
            </w:r>
            <w:r w:rsidRPr="00227C94">
              <w:rPr>
                <w:b/>
                <w:vertAlign w:val="superscript"/>
              </w:rPr>
              <w:t>(3)</w:t>
            </w:r>
          </w:p>
        </w:tc>
        <w:tc>
          <w:tcPr>
            <w:tcW w:w="1417" w:type="dxa"/>
            <w:tcBorders>
              <w:top w:val="nil"/>
              <w:left w:val="nil"/>
              <w:bottom w:val="nil"/>
              <w:right w:val="nil"/>
            </w:tcBorders>
            <w:vAlign w:val="bottom"/>
          </w:tcPr>
          <w:p w:rsidR="0065170A" w:rsidRPr="00227C94" w:rsidRDefault="0065170A" w:rsidP="0065170A">
            <w:pPr>
              <w:pStyle w:val="tblNumber01"/>
              <w:rPr>
                <w:b/>
              </w:rPr>
            </w:pPr>
            <w:r w:rsidRPr="00227C94">
              <w:rPr>
                <w:b/>
              </w:rPr>
              <w:t>492,653</w:t>
            </w:r>
          </w:p>
        </w:tc>
        <w:tc>
          <w:tcPr>
            <w:tcW w:w="113" w:type="dxa"/>
            <w:tcBorders>
              <w:top w:val="nil"/>
              <w:left w:val="nil"/>
              <w:bottom w:val="nil"/>
              <w:right w:val="nil"/>
            </w:tcBorders>
            <w:vAlign w:val="bottom"/>
          </w:tcPr>
          <w:p w:rsidR="0065170A" w:rsidRPr="00227C94" w:rsidRDefault="0065170A" w:rsidP="0065170A">
            <w:pPr>
              <w:pStyle w:val="tblNumber01"/>
              <w:rPr>
                <w:b/>
              </w:rPr>
            </w:pPr>
          </w:p>
        </w:tc>
        <w:tc>
          <w:tcPr>
            <w:tcW w:w="1417" w:type="dxa"/>
            <w:tcBorders>
              <w:top w:val="nil"/>
              <w:left w:val="nil"/>
              <w:bottom w:val="nil"/>
              <w:right w:val="nil"/>
            </w:tcBorders>
            <w:vAlign w:val="bottom"/>
          </w:tcPr>
          <w:p w:rsidR="0065170A" w:rsidRPr="00227C94" w:rsidRDefault="0065170A" w:rsidP="0065170A">
            <w:pPr>
              <w:pStyle w:val="tblNumber01"/>
              <w:rPr>
                <w:b/>
              </w:rPr>
            </w:pPr>
            <w:r w:rsidRPr="00227C94">
              <w:rPr>
                <w:b/>
              </w:rPr>
              <w:t>387,590</w:t>
            </w:r>
          </w:p>
        </w:tc>
        <w:tc>
          <w:tcPr>
            <w:tcW w:w="113" w:type="dxa"/>
            <w:tcBorders>
              <w:top w:val="nil"/>
              <w:left w:val="nil"/>
              <w:bottom w:val="nil"/>
              <w:right w:val="nil"/>
            </w:tcBorders>
            <w:vAlign w:val="bottom"/>
          </w:tcPr>
          <w:p w:rsidR="0065170A" w:rsidRPr="00227C94" w:rsidRDefault="0065170A" w:rsidP="0065170A">
            <w:pPr>
              <w:pStyle w:val="tblNumber01"/>
              <w:rPr>
                <w:b/>
              </w:rPr>
            </w:pPr>
          </w:p>
        </w:tc>
        <w:tc>
          <w:tcPr>
            <w:tcW w:w="1417" w:type="dxa"/>
            <w:tcBorders>
              <w:top w:val="nil"/>
              <w:left w:val="nil"/>
              <w:bottom w:val="nil"/>
              <w:right w:val="nil"/>
            </w:tcBorders>
            <w:vAlign w:val="bottom"/>
          </w:tcPr>
          <w:p w:rsidR="0065170A" w:rsidRPr="00227C94" w:rsidRDefault="0065170A" w:rsidP="0065170A">
            <w:pPr>
              <w:pStyle w:val="tblNumber01"/>
              <w:rPr>
                <w:b/>
              </w:rPr>
            </w:pPr>
            <w:r w:rsidRPr="00227C94">
              <w:rPr>
                <w:b/>
              </w:rPr>
              <w:t>27</w:t>
            </w:r>
          </w:p>
        </w:tc>
        <w:tc>
          <w:tcPr>
            <w:tcW w:w="113" w:type="dxa"/>
            <w:tcBorders>
              <w:top w:val="nil"/>
              <w:left w:val="nil"/>
              <w:bottom w:val="nil"/>
              <w:right w:val="nil"/>
            </w:tcBorders>
            <w:vAlign w:val="bottom"/>
          </w:tcPr>
          <w:p w:rsidR="0065170A" w:rsidRPr="00227C94" w:rsidRDefault="0065170A" w:rsidP="0065170A">
            <w:pPr>
              <w:pStyle w:val="tblNumber01"/>
              <w:rPr>
                <w:b/>
              </w:rPr>
            </w:pPr>
          </w:p>
        </w:tc>
        <w:tc>
          <w:tcPr>
            <w:tcW w:w="1417" w:type="dxa"/>
            <w:tcBorders>
              <w:top w:val="nil"/>
              <w:left w:val="nil"/>
              <w:bottom w:val="nil"/>
              <w:right w:val="nil"/>
            </w:tcBorders>
            <w:vAlign w:val="bottom"/>
          </w:tcPr>
          <w:p w:rsidR="0065170A" w:rsidRPr="00227C94" w:rsidRDefault="0065170A" w:rsidP="0065170A">
            <w:pPr>
              <w:pStyle w:val="tblNumber01"/>
              <w:rPr>
                <w:b/>
              </w:rPr>
            </w:pPr>
            <w:r w:rsidRPr="00227C94">
              <w:rPr>
                <w:b/>
              </w:rPr>
              <w:t>979,840</w:t>
            </w:r>
          </w:p>
        </w:tc>
      </w:tr>
      <w:tr w:rsidR="0065170A" w:rsidRPr="00227C94" w:rsidTr="0065170A">
        <w:trPr>
          <w:cantSplit/>
        </w:trPr>
        <w:tc>
          <w:tcPr>
            <w:tcW w:w="2928" w:type="dxa"/>
            <w:tcBorders>
              <w:top w:val="nil"/>
              <w:left w:val="nil"/>
              <w:bottom w:val="nil"/>
              <w:right w:val="nil"/>
            </w:tcBorders>
          </w:tcPr>
          <w:p w:rsidR="0065170A" w:rsidRPr="00227C94" w:rsidRDefault="0065170A" w:rsidP="0065170A">
            <w:pPr>
              <w:pStyle w:val="tblText02"/>
            </w:pPr>
            <w:r w:rsidRPr="00227C94">
              <w:t>Gold sales (“000 troy ounces)</w:t>
            </w:r>
          </w:p>
        </w:tc>
        <w:tc>
          <w:tcPr>
            <w:tcW w:w="1417" w:type="dxa"/>
            <w:tcBorders>
              <w:top w:val="nil"/>
              <w:left w:val="nil"/>
              <w:bottom w:val="nil"/>
              <w:right w:val="nil"/>
            </w:tcBorders>
            <w:vAlign w:val="bottom"/>
          </w:tcPr>
          <w:p w:rsidR="0065170A" w:rsidRPr="00227C94" w:rsidRDefault="0065170A" w:rsidP="0065170A">
            <w:pPr>
              <w:pStyle w:val="tblNumber01"/>
            </w:pPr>
            <w:r w:rsidRPr="00227C94">
              <w:t>742</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629</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18</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1,483</w:t>
            </w:r>
          </w:p>
        </w:tc>
      </w:tr>
      <w:tr w:rsidR="0065170A" w:rsidRPr="00227C94" w:rsidTr="0065170A">
        <w:trPr>
          <w:cantSplit/>
        </w:trPr>
        <w:tc>
          <w:tcPr>
            <w:tcW w:w="2928" w:type="dxa"/>
            <w:tcBorders>
              <w:top w:val="nil"/>
              <w:left w:val="nil"/>
              <w:bottom w:val="nil"/>
              <w:right w:val="nil"/>
            </w:tcBorders>
          </w:tcPr>
          <w:p w:rsidR="0065170A" w:rsidRPr="00227C94" w:rsidRDefault="0065170A" w:rsidP="0065170A">
            <w:pPr>
              <w:pStyle w:val="tblText02"/>
              <w:rPr>
                <w:b/>
              </w:rPr>
            </w:pPr>
            <w:r w:rsidRPr="00227C94">
              <w:rPr>
                <w:b/>
              </w:rPr>
              <w:t>TCC (USD/oz)</w:t>
            </w:r>
          </w:p>
        </w:tc>
        <w:tc>
          <w:tcPr>
            <w:tcW w:w="1417" w:type="dxa"/>
            <w:tcBorders>
              <w:top w:val="nil"/>
              <w:left w:val="nil"/>
              <w:bottom w:val="nil"/>
              <w:right w:val="nil"/>
            </w:tcBorders>
            <w:vAlign w:val="bottom"/>
          </w:tcPr>
          <w:p w:rsidR="0065170A" w:rsidRPr="00227C94" w:rsidRDefault="0065170A" w:rsidP="0065170A">
            <w:pPr>
              <w:pStyle w:val="tblNumber01"/>
              <w:rPr>
                <w:b/>
              </w:rPr>
            </w:pPr>
            <w:r w:rsidRPr="00227C94">
              <w:rPr>
                <w:b/>
              </w:rPr>
              <w:t>664</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rPr>
                <w:b/>
              </w:rPr>
            </w:pPr>
            <w:r w:rsidRPr="00227C94">
              <w:rPr>
                <w:b/>
              </w:rPr>
              <w:t>616</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rPr>
                <w:b/>
              </w:rPr>
            </w:pPr>
            <w:r w:rsidRPr="00227C94">
              <w:rPr>
                <w:b/>
              </w:rPr>
              <w:t>8</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rPr>
                <w:b/>
              </w:rPr>
            </w:pPr>
            <w:r w:rsidRPr="00227C94">
              <w:rPr>
                <w:b/>
              </w:rPr>
              <w:t>661</w:t>
            </w:r>
          </w:p>
        </w:tc>
      </w:tr>
      <w:tr w:rsidR="0065170A" w:rsidRPr="00227C94" w:rsidTr="0065170A">
        <w:trPr>
          <w:cantSplit/>
        </w:trPr>
        <w:tc>
          <w:tcPr>
            <w:tcW w:w="2928" w:type="dxa"/>
            <w:tcBorders>
              <w:top w:val="nil"/>
              <w:left w:val="nil"/>
              <w:bottom w:val="nil"/>
              <w:right w:val="nil"/>
            </w:tcBorders>
          </w:tcPr>
          <w:p w:rsidR="0065170A" w:rsidRPr="00227C94" w:rsidRDefault="0065170A" w:rsidP="0065170A">
            <w:pPr>
              <w:pStyle w:val="tblText02"/>
            </w:pPr>
            <w:r w:rsidRPr="00227C94">
              <w:t>TCC (RUB/oz)</w:t>
            </w:r>
          </w:p>
        </w:tc>
        <w:tc>
          <w:tcPr>
            <w:tcW w:w="1417" w:type="dxa"/>
            <w:tcBorders>
              <w:top w:val="nil"/>
              <w:left w:val="nil"/>
              <w:bottom w:val="nil"/>
              <w:right w:val="nil"/>
            </w:tcBorders>
            <w:vAlign w:val="bottom"/>
          </w:tcPr>
          <w:p w:rsidR="0065170A" w:rsidRPr="00227C94" w:rsidRDefault="0065170A" w:rsidP="0065170A">
            <w:pPr>
              <w:pStyle w:val="tblNumber01"/>
            </w:pPr>
            <w:r w:rsidRPr="00227C94">
              <w:t>20,336</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17,634</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15</w:t>
            </w:r>
          </w:p>
        </w:tc>
        <w:tc>
          <w:tcPr>
            <w:tcW w:w="113" w:type="dxa"/>
            <w:tcBorders>
              <w:top w:val="nil"/>
              <w:left w:val="nil"/>
              <w:bottom w:val="nil"/>
              <w:right w:val="nil"/>
            </w:tcBorders>
            <w:vAlign w:val="bottom"/>
          </w:tcPr>
          <w:p w:rsidR="0065170A" w:rsidRPr="00227C94" w:rsidRDefault="0065170A" w:rsidP="0065170A">
            <w:pPr>
              <w:pStyle w:val="tblNumber01"/>
            </w:pPr>
          </w:p>
        </w:tc>
        <w:tc>
          <w:tcPr>
            <w:tcW w:w="1417" w:type="dxa"/>
            <w:tcBorders>
              <w:top w:val="nil"/>
              <w:left w:val="nil"/>
              <w:bottom w:val="nil"/>
              <w:right w:val="nil"/>
            </w:tcBorders>
            <w:vAlign w:val="bottom"/>
          </w:tcPr>
          <w:p w:rsidR="0065170A" w:rsidRPr="00227C94" w:rsidRDefault="0065170A" w:rsidP="0065170A">
            <w:pPr>
              <w:pStyle w:val="tblNumber01"/>
            </w:pPr>
            <w:r w:rsidRPr="00227C94">
              <w:t>19,427</w:t>
            </w:r>
          </w:p>
        </w:tc>
      </w:tr>
    </w:tbl>
    <w:p w:rsidR="0065170A" w:rsidRPr="00227C94" w:rsidRDefault="0065170A" w:rsidP="0065170A">
      <w:pPr>
        <w:pStyle w:val="23"/>
        <w:rPr>
          <w:color w:val="auto"/>
          <w:sz w:val="18"/>
          <w:szCs w:val="18"/>
        </w:rPr>
      </w:pPr>
      <w:r w:rsidRPr="00227C94">
        <w:rPr>
          <w:color w:val="auto"/>
          <w:sz w:val="18"/>
          <w:szCs w:val="18"/>
        </w:rPr>
        <w:t>_______</w:t>
      </w:r>
      <w:r w:rsidRPr="00227C94">
        <w:rPr>
          <w:color w:val="auto"/>
          <w:sz w:val="18"/>
          <w:szCs w:val="18"/>
          <w:lang w:val="en-US"/>
        </w:rPr>
        <w:t>____________</w:t>
      </w:r>
      <w:r w:rsidRPr="00227C94">
        <w:rPr>
          <w:color w:val="auto"/>
          <w:sz w:val="18"/>
          <w:szCs w:val="18"/>
        </w:rPr>
        <w:t>_________</w:t>
      </w:r>
    </w:p>
    <w:p w:rsidR="00916675" w:rsidRPr="00227C94" w:rsidRDefault="00916675" w:rsidP="002E73D5">
      <w:pPr>
        <w:pStyle w:val="2"/>
        <w:numPr>
          <w:ilvl w:val="0"/>
          <w:numId w:val="24"/>
        </w:numPr>
        <w:rPr>
          <w:sz w:val="18"/>
          <w:lang w:val="en-US"/>
        </w:rPr>
      </w:pPr>
      <w:bookmarkStart w:id="269" w:name="_DV_M267"/>
      <w:bookmarkEnd w:id="269"/>
      <w:r w:rsidRPr="00227C94">
        <w:rPr>
          <w:sz w:val="18"/>
          <w:lang w:val="en-US"/>
        </w:rPr>
        <w:t>“Non-monetary changes in inventories” is a calculation to estimate the non-cash portion of costs included in the change in the amount of inventory, primarily representing depreciation and amortisation.</w:t>
      </w:r>
    </w:p>
    <w:p w:rsidR="00916675" w:rsidRPr="00227C94" w:rsidRDefault="00916675" w:rsidP="002E73D5">
      <w:pPr>
        <w:pStyle w:val="2"/>
        <w:numPr>
          <w:ilvl w:val="0"/>
          <w:numId w:val="24"/>
        </w:numPr>
        <w:rPr>
          <w:sz w:val="18"/>
          <w:lang w:val="en-US"/>
        </w:rPr>
      </w:pPr>
      <w:bookmarkStart w:id="270" w:name="_DV_M268"/>
      <w:bookmarkEnd w:id="270"/>
      <w:r w:rsidRPr="00227C94">
        <w:rPr>
          <w:sz w:val="18"/>
          <w:lang w:val="en-US"/>
        </w:rPr>
        <w:t>“Non-monetary changes in deferred stripping costs” is a calculation to estimate the non-cash portion of costs included in the change in the amount of deferred stripping costs, primarily representing depreciation and amortisation.</w:t>
      </w:r>
    </w:p>
    <w:p w:rsidR="00916675" w:rsidRPr="00227C94" w:rsidRDefault="00916675" w:rsidP="002E73D5">
      <w:pPr>
        <w:pStyle w:val="2"/>
        <w:numPr>
          <w:ilvl w:val="0"/>
          <w:numId w:val="24"/>
        </w:numPr>
        <w:rPr>
          <w:sz w:val="18"/>
          <w:lang w:val="en-US"/>
        </w:rPr>
      </w:pPr>
      <w:r w:rsidRPr="00227C94">
        <w:rPr>
          <w:sz w:val="18"/>
          <w:lang w:val="en-US"/>
        </w:rPr>
        <w:t>Totals may not sum completely due to rounding.</w:t>
      </w:r>
    </w:p>
    <w:p w:rsidR="00916675" w:rsidRPr="00227C94" w:rsidRDefault="00916675" w:rsidP="0065170A">
      <w:pPr>
        <w:pStyle w:val="23"/>
        <w:rPr>
          <w:color w:val="auto"/>
          <w:lang w:val="en-US"/>
        </w:rPr>
      </w:pPr>
    </w:p>
    <w:p w:rsidR="00916675" w:rsidRPr="00227C94" w:rsidRDefault="00916675" w:rsidP="0065170A">
      <w:pPr>
        <w:pStyle w:val="23"/>
        <w:rPr>
          <w:color w:val="auto"/>
          <w:spacing w:val="-4"/>
          <w:lang w:val="en-US"/>
        </w:rPr>
      </w:pPr>
      <w:bookmarkStart w:id="271" w:name="_DV_M269"/>
      <w:bookmarkEnd w:id="271"/>
      <w:r w:rsidRPr="00227C94">
        <w:rPr>
          <w:color w:val="auto"/>
          <w:spacing w:val="-2"/>
          <w:lang w:val="en-US"/>
        </w:rPr>
        <w:t xml:space="preserve">In the first six months of 2012, TCC per troy ounce </w:t>
      </w:r>
      <w:bookmarkStart w:id="272" w:name="_DV_C175"/>
      <w:r w:rsidRPr="00227C94">
        <w:rPr>
          <w:color w:val="auto"/>
          <w:spacing w:val="-2"/>
          <w:lang w:val="en-US"/>
        </w:rPr>
        <w:t>increased</w:t>
      </w:r>
      <w:bookmarkStart w:id="273" w:name="_DV_M270"/>
      <w:bookmarkEnd w:id="272"/>
      <w:bookmarkEnd w:id="273"/>
      <w:r w:rsidRPr="00227C94">
        <w:rPr>
          <w:color w:val="auto"/>
          <w:spacing w:val="-2"/>
          <w:lang w:val="en-US"/>
        </w:rPr>
        <w:t xml:space="preserve"> by 15% on a rouble basis. The increase</w:t>
      </w:r>
      <w:bookmarkStart w:id="274" w:name="_DV_C176"/>
      <w:r w:rsidRPr="00227C94">
        <w:rPr>
          <w:color w:val="auto"/>
          <w:spacing w:val="-2"/>
          <w:lang w:val="en-US"/>
        </w:rPr>
        <w:t xml:space="preserve"> </w:t>
      </w:r>
      <w:r w:rsidRPr="00227C94">
        <w:rPr>
          <w:color w:val="auto"/>
          <w:spacing w:val="-4"/>
          <w:lang w:val="en-US"/>
        </w:rPr>
        <w:t>of 8%</w:t>
      </w:r>
      <w:bookmarkStart w:id="275" w:name="_DV_M271"/>
      <w:bookmarkEnd w:id="274"/>
      <w:bookmarkEnd w:id="275"/>
      <w:r w:rsidRPr="00227C94">
        <w:rPr>
          <w:color w:val="auto"/>
          <w:spacing w:val="-4"/>
          <w:lang w:val="en-US"/>
        </w:rPr>
        <w:t xml:space="preserve"> on a USD basis was lower due to the strengthening of the US dollar relative to the Russian rouble.</w:t>
      </w:r>
    </w:p>
    <w:p w:rsidR="0065170A" w:rsidRPr="00227C94" w:rsidRDefault="0065170A" w:rsidP="0065170A">
      <w:pPr>
        <w:pStyle w:val="23"/>
        <w:rPr>
          <w:color w:val="auto"/>
          <w:lang w:val="en-US"/>
        </w:rPr>
      </w:pPr>
    </w:p>
    <w:p w:rsidR="00916675" w:rsidRPr="00227C94" w:rsidRDefault="00916675" w:rsidP="0065170A">
      <w:pPr>
        <w:pStyle w:val="23"/>
        <w:rPr>
          <w:color w:val="auto"/>
          <w:lang w:val="en-US"/>
        </w:rPr>
      </w:pPr>
      <w:bookmarkStart w:id="276" w:name="_DV_M273"/>
      <w:bookmarkEnd w:id="276"/>
      <w:r w:rsidRPr="00227C94">
        <w:rPr>
          <w:color w:val="auto"/>
          <w:lang w:val="en-US"/>
        </w:rPr>
        <w:t xml:space="preserve">During the first half of 2012, total cash costs were affected mainly by </w:t>
      </w:r>
      <w:bookmarkStart w:id="277" w:name="_DV_C177"/>
      <w:r w:rsidRPr="00227C94">
        <w:rPr>
          <w:color w:val="auto"/>
          <w:lang w:val="en-US"/>
        </w:rPr>
        <w:t xml:space="preserve">a </w:t>
      </w:r>
      <w:bookmarkStart w:id="278" w:name="_DV_M274"/>
      <w:bookmarkEnd w:id="277"/>
      <w:bookmarkEnd w:id="278"/>
      <w:r w:rsidRPr="00227C94">
        <w:rPr>
          <w:color w:val="auto"/>
          <w:lang w:val="en-US"/>
        </w:rPr>
        <w:t xml:space="preserve">material </w:t>
      </w:r>
      <w:bookmarkStart w:id="279" w:name="_DV_C178"/>
      <w:r w:rsidRPr="00227C94">
        <w:rPr>
          <w:color w:val="auto"/>
          <w:lang w:val="en-US"/>
        </w:rPr>
        <w:t xml:space="preserve">increase in </w:t>
      </w:r>
      <w:bookmarkStart w:id="280" w:name="_DV_M275"/>
      <w:bookmarkEnd w:id="279"/>
      <w:bookmarkEnd w:id="280"/>
      <w:r w:rsidRPr="00227C94">
        <w:rPr>
          <w:color w:val="auto"/>
          <w:lang w:val="en-US"/>
        </w:rPr>
        <w:t>costs</w:t>
      </w:r>
      <w:bookmarkStart w:id="281" w:name="_DV_M276"/>
      <w:bookmarkEnd w:id="281"/>
      <w:r w:rsidRPr="00227C94">
        <w:rPr>
          <w:color w:val="auto"/>
          <w:lang w:val="en-US"/>
        </w:rPr>
        <w:t xml:space="preserve"> </w:t>
      </w:r>
      <w:r w:rsidRPr="00227C94">
        <w:rPr>
          <w:color w:val="auto"/>
          <w:spacing w:val="-2"/>
          <w:lang w:val="en-US"/>
        </w:rPr>
        <w:t>resulting primarily from significant increase in consumption</w:t>
      </w:r>
      <w:bookmarkStart w:id="282" w:name="_DV_M277"/>
      <w:bookmarkEnd w:id="282"/>
      <w:r w:rsidRPr="00227C94">
        <w:rPr>
          <w:color w:val="auto"/>
          <w:spacing w:val="-2"/>
          <w:lang w:val="en-US"/>
        </w:rPr>
        <w:t xml:space="preserve"> of materials, fuel and spare parts, salaries </w:t>
      </w:r>
      <w:r w:rsidRPr="00227C94">
        <w:rPr>
          <w:color w:val="auto"/>
          <w:lang w:val="en-US"/>
        </w:rPr>
        <w:t>indexation, increase in the average number of personnel, growth in prices for some materials and components and increase in mining tax charges on the back of gold price growth (Refer to paragraph 1.3 “Cost of gold sales”). Despite improvements in the Group’s mines processing efficiency, the increase in gold production and sales volumes was not sufficient to meet the growth of costs, which led to an increase in the Group’s TCC indicator.</w:t>
      </w:r>
    </w:p>
    <w:p w:rsidR="00916675" w:rsidRPr="00227C94" w:rsidRDefault="00916675" w:rsidP="0065170A">
      <w:pPr>
        <w:pStyle w:val="23"/>
        <w:rPr>
          <w:color w:val="auto"/>
          <w:lang w:val="en-US"/>
        </w:rPr>
      </w:pPr>
    </w:p>
    <w:p w:rsidR="00916675" w:rsidRPr="00227C94" w:rsidRDefault="00916675" w:rsidP="0065170A">
      <w:pPr>
        <w:pStyle w:val="23"/>
        <w:rPr>
          <w:color w:val="auto"/>
          <w:lang w:val="en-US"/>
        </w:rPr>
      </w:pPr>
      <w:bookmarkStart w:id="283" w:name="_DV_M280"/>
      <w:bookmarkStart w:id="284" w:name="_DV_M281"/>
      <w:bookmarkStart w:id="285" w:name="_DV_M282"/>
      <w:bookmarkStart w:id="286" w:name="_DV_M283"/>
      <w:bookmarkStart w:id="287" w:name="_DV_M284"/>
      <w:bookmarkStart w:id="288" w:name="_DV_M285"/>
      <w:bookmarkStart w:id="289" w:name="_DV_M286"/>
      <w:bookmarkStart w:id="290" w:name="_DV_M287"/>
      <w:bookmarkStart w:id="291" w:name="_DV_M288"/>
      <w:bookmarkStart w:id="292" w:name="_DV_M289"/>
      <w:bookmarkStart w:id="293" w:name="_DV_M291"/>
      <w:bookmarkEnd w:id="283"/>
      <w:bookmarkEnd w:id="284"/>
      <w:bookmarkEnd w:id="285"/>
      <w:bookmarkEnd w:id="286"/>
      <w:bookmarkEnd w:id="287"/>
      <w:bookmarkEnd w:id="288"/>
      <w:bookmarkEnd w:id="289"/>
      <w:bookmarkEnd w:id="290"/>
      <w:bookmarkEnd w:id="291"/>
      <w:bookmarkEnd w:id="292"/>
      <w:bookmarkEnd w:id="293"/>
    </w:p>
    <w:p w:rsidR="00916675" w:rsidRPr="00227C94" w:rsidRDefault="0065170A" w:rsidP="0065170A">
      <w:pPr>
        <w:pStyle w:val="1"/>
        <w:rPr>
          <w:lang w:val="en-US"/>
        </w:rPr>
      </w:pPr>
      <w:bookmarkStart w:id="294" w:name="_DV_M292"/>
      <w:bookmarkStart w:id="295" w:name="_Toc304205609"/>
      <w:bookmarkEnd w:id="294"/>
      <w:r w:rsidRPr="00227C94">
        <w:rPr>
          <w:lang w:val="en-US"/>
        </w:rPr>
        <w:br w:type="page"/>
      </w:r>
      <w:r w:rsidR="00916675" w:rsidRPr="00227C94">
        <w:rPr>
          <w:lang w:val="en-US"/>
        </w:rPr>
        <w:lastRenderedPageBreak/>
        <w:t>REVIEW OF FINANCIAL SUSTAINABILITY AND SOLVENCY</w:t>
      </w:r>
      <w:bookmarkStart w:id="296" w:name="_Toc303889395"/>
      <w:bookmarkEnd w:id="295"/>
      <w:bookmarkEnd w:id="296"/>
    </w:p>
    <w:p w:rsidR="00916675" w:rsidRPr="00227C94" w:rsidRDefault="00916675" w:rsidP="0065170A">
      <w:pPr>
        <w:pStyle w:val="23"/>
        <w:rPr>
          <w:color w:val="auto"/>
          <w:lang w:val="en-US"/>
        </w:rPr>
      </w:pPr>
      <w:bookmarkStart w:id="297" w:name="_DV_M294"/>
      <w:bookmarkStart w:id="298" w:name="_Toc303889396"/>
      <w:bookmarkStart w:id="299" w:name="_Toc304205610"/>
      <w:bookmarkEnd w:id="297"/>
    </w:p>
    <w:p w:rsidR="00916675" w:rsidRPr="00227C94" w:rsidRDefault="00916675" w:rsidP="0065170A">
      <w:pPr>
        <w:pStyle w:val="22"/>
        <w:rPr>
          <w:lang w:val="en-US"/>
        </w:rPr>
      </w:pPr>
      <w:r w:rsidRPr="00227C94">
        <w:rPr>
          <w:lang w:val="en-US"/>
        </w:rPr>
        <w:t>4.1 Analysis of statement of financial position items</w:t>
      </w:r>
      <w:bookmarkEnd w:id="298"/>
      <w:bookmarkEnd w:id="299"/>
    </w:p>
    <w:p w:rsidR="0065170A" w:rsidRPr="00227C94" w:rsidRDefault="0065170A" w:rsidP="0065170A">
      <w:pPr>
        <w:pStyle w:val="23"/>
        <w:rPr>
          <w:color w:val="auto"/>
          <w:lang w:val="en-US"/>
        </w:rPr>
      </w:pPr>
    </w:p>
    <w:p w:rsidR="00916675" w:rsidRPr="00227C94" w:rsidRDefault="00916675" w:rsidP="0065170A">
      <w:pPr>
        <w:pStyle w:val="23"/>
        <w:rPr>
          <w:color w:val="auto"/>
          <w:lang w:val="en-US"/>
        </w:rPr>
      </w:pPr>
      <w:bookmarkStart w:id="300" w:name="_DV_M295"/>
      <w:bookmarkEnd w:id="300"/>
      <w:r w:rsidRPr="00227C94">
        <w:rPr>
          <w:color w:val="auto"/>
          <w:lang w:val="en-US"/>
        </w:rPr>
        <w:t xml:space="preserve">The table below sets forth key items from the Group’s consolidated statement of financial position as at </w:t>
      </w:r>
      <w:r w:rsidRPr="00227C94">
        <w:rPr>
          <w:color w:val="auto"/>
          <w:w w:val="0"/>
          <w:lang w:val="en-US"/>
        </w:rPr>
        <w:t>30 June 2011 and 31 December 2011</w:t>
      </w:r>
      <w:r w:rsidRPr="00227C94">
        <w:rPr>
          <w:color w:val="auto"/>
          <w:lang w:val="en-US"/>
        </w:rPr>
        <w:t>:</w:t>
      </w:r>
    </w:p>
    <w:p w:rsidR="0065170A" w:rsidRPr="00227C94" w:rsidRDefault="0065170A" w:rsidP="0065170A">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690257" w:rsidRPr="00227C94" w:rsidTr="00A701F4">
        <w:trPr>
          <w:cantSplit/>
        </w:trPr>
        <w:tc>
          <w:tcPr>
            <w:tcW w:w="4118" w:type="dxa"/>
            <w:tcBorders>
              <w:top w:val="nil"/>
              <w:left w:val="nil"/>
              <w:bottom w:val="nil"/>
              <w:right w:val="nil"/>
            </w:tcBorders>
            <w:vAlign w:val="bottom"/>
          </w:tcPr>
          <w:p w:rsidR="00690257" w:rsidRPr="00227C94" w:rsidRDefault="00690257" w:rsidP="00690257">
            <w:pPr>
              <w:pStyle w:val="tblHeaderText"/>
              <w:jc w:val="left"/>
            </w:pPr>
            <w:r w:rsidRPr="00227C94">
              <w:t>USD‘000</w:t>
            </w:r>
          </w:p>
        </w:tc>
        <w:tc>
          <w:tcPr>
            <w:tcW w:w="1417" w:type="dxa"/>
            <w:tcBorders>
              <w:top w:val="nil"/>
              <w:left w:val="nil"/>
              <w:bottom w:val="single" w:sz="6" w:space="0" w:color="auto"/>
              <w:right w:val="nil"/>
            </w:tcBorders>
            <w:shd w:val="clear" w:color="auto" w:fill="auto"/>
            <w:vAlign w:val="bottom"/>
          </w:tcPr>
          <w:p w:rsidR="003443ED" w:rsidRPr="00227C94" w:rsidRDefault="00690257" w:rsidP="00690257">
            <w:pPr>
              <w:pStyle w:val="tblHeaderText"/>
              <w:rPr>
                <w:lang w:val="en-US"/>
              </w:rPr>
            </w:pPr>
            <w:r w:rsidRPr="00227C94">
              <w:t xml:space="preserve">30 June </w:t>
            </w:r>
          </w:p>
          <w:p w:rsidR="00690257" w:rsidRPr="00227C94" w:rsidRDefault="00690257" w:rsidP="00690257">
            <w:pPr>
              <w:pStyle w:val="tblHeaderText"/>
            </w:pPr>
            <w:r w:rsidRPr="00227C94">
              <w:t>2012</w:t>
            </w:r>
          </w:p>
        </w:tc>
        <w:tc>
          <w:tcPr>
            <w:tcW w:w="283" w:type="dxa"/>
            <w:tcBorders>
              <w:top w:val="nil"/>
              <w:left w:val="nil"/>
              <w:bottom w:val="nil"/>
              <w:right w:val="nil"/>
            </w:tcBorders>
            <w:vAlign w:val="bottom"/>
          </w:tcPr>
          <w:p w:rsidR="00690257" w:rsidRPr="00227C94" w:rsidRDefault="00690257" w:rsidP="00690257">
            <w:pPr>
              <w:pStyle w:val="tblHeaderText"/>
            </w:pPr>
          </w:p>
        </w:tc>
        <w:tc>
          <w:tcPr>
            <w:tcW w:w="1417" w:type="dxa"/>
            <w:tcBorders>
              <w:top w:val="nil"/>
              <w:left w:val="nil"/>
              <w:bottom w:val="single" w:sz="6" w:space="0" w:color="auto"/>
              <w:right w:val="nil"/>
            </w:tcBorders>
            <w:shd w:val="clear" w:color="auto" w:fill="auto"/>
            <w:vAlign w:val="bottom"/>
          </w:tcPr>
          <w:p w:rsidR="00690257" w:rsidRPr="00227C94" w:rsidRDefault="00690257" w:rsidP="00B71A14">
            <w:pPr>
              <w:pStyle w:val="tblHeaderText"/>
            </w:pPr>
            <w:r w:rsidRPr="00227C94">
              <w:t>31 December 2011</w:t>
            </w:r>
          </w:p>
        </w:tc>
        <w:tc>
          <w:tcPr>
            <w:tcW w:w="283" w:type="dxa"/>
            <w:tcBorders>
              <w:top w:val="nil"/>
              <w:left w:val="nil"/>
              <w:bottom w:val="nil"/>
              <w:right w:val="nil"/>
            </w:tcBorders>
            <w:vAlign w:val="bottom"/>
          </w:tcPr>
          <w:p w:rsidR="00690257" w:rsidRPr="00227C94" w:rsidRDefault="00690257" w:rsidP="00690257">
            <w:pPr>
              <w:pStyle w:val="tblHeaderText"/>
            </w:pPr>
          </w:p>
        </w:tc>
        <w:tc>
          <w:tcPr>
            <w:tcW w:w="1417" w:type="dxa"/>
            <w:tcBorders>
              <w:top w:val="nil"/>
              <w:left w:val="nil"/>
              <w:bottom w:val="single" w:sz="6" w:space="0" w:color="auto"/>
              <w:right w:val="nil"/>
            </w:tcBorders>
            <w:shd w:val="clear" w:color="auto" w:fill="auto"/>
            <w:vAlign w:val="bottom"/>
          </w:tcPr>
          <w:p w:rsidR="003443ED" w:rsidRPr="00227C94" w:rsidRDefault="003443ED" w:rsidP="00690257">
            <w:pPr>
              <w:pStyle w:val="tblHeaderText"/>
              <w:rPr>
                <w:lang w:val="en-US"/>
              </w:rPr>
            </w:pPr>
            <w:r w:rsidRPr="00227C94">
              <w:rPr>
                <w:lang w:val="en-US"/>
              </w:rPr>
              <w:t>%</w:t>
            </w:r>
          </w:p>
          <w:p w:rsidR="00690257" w:rsidRPr="00227C94" w:rsidRDefault="00690257" w:rsidP="00690257">
            <w:pPr>
              <w:pStyle w:val="tblHeaderText"/>
              <w:rPr>
                <w:lang w:val="en-US"/>
              </w:rPr>
            </w:pPr>
            <w:r w:rsidRPr="00227C94">
              <w:t>Change</w:t>
            </w:r>
          </w:p>
        </w:tc>
      </w:tr>
      <w:tr w:rsidR="00690257" w:rsidRPr="00227C94" w:rsidTr="00A701F4">
        <w:trPr>
          <w:cantSplit/>
        </w:trPr>
        <w:tc>
          <w:tcPr>
            <w:tcW w:w="4118" w:type="dxa"/>
            <w:tcBorders>
              <w:top w:val="nil"/>
              <w:left w:val="nil"/>
              <w:bottom w:val="nil"/>
              <w:right w:val="nil"/>
            </w:tcBorders>
          </w:tcPr>
          <w:p w:rsidR="00690257" w:rsidRPr="00227C94" w:rsidRDefault="00690257" w:rsidP="00690257">
            <w:pPr>
              <w:pStyle w:val="tblHeaderText"/>
              <w:jc w:val="left"/>
            </w:pPr>
          </w:p>
        </w:tc>
        <w:tc>
          <w:tcPr>
            <w:tcW w:w="1417" w:type="dxa"/>
            <w:tcBorders>
              <w:top w:val="single" w:sz="6" w:space="0" w:color="auto"/>
              <w:left w:val="nil"/>
              <w:bottom w:val="nil"/>
              <w:right w:val="nil"/>
            </w:tcBorders>
            <w:shd w:val="clear" w:color="auto" w:fill="auto"/>
          </w:tcPr>
          <w:p w:rsidR="00690257" w:rsidRPr="00227C94" w:rsidRDefault="00690257" w:rsidP="00690257">
            <w:pPr>
              <w:pStyle w:val="tblHeaderText"/>
            </w:pPr>
          </w:p>
        </w:tc>
        <w:tc>
          <w:tcPr>
            <w:tcW w:w="283" w:type="dxa"/>
            <w:tcBorders>
              <w:top w:val="nil"/>
              <w:left w:val="nil"/>
              <w:bottom w:val="nil"/>
              <w:right w:val="nil"/>
            </w:tcBorders>
          </w:tcPr>
          <w:p w:rsidR="00690257" w:rsidRPr="00227C94" w:rsidRDefault="00690257" w:rsidP="00690257">
            <w:pPr>
              <w:pStyle w:val="tblHeaderText"/>
            </w:pPr>
          </w:p>
        </w:tc>
        <w:tc>
          <w:tcPr>
            <w:tcW w:w="1417" w:type="dxa"/>
            <w:tcBorders>
              <w:top w:val="single" w:sz="6" w:space="0" w:color="auto"/>
              <w:left w:val="nil"/>
              <w:bottom w:val="nil"/>
              <w:right w:val="nil"/>
            </w:tcBorders>
            <w:shd w:val="clear" w:color="auto" w:fill="auto"/>
          </w:tcPr>
          <w:p w:rsidR="00690257" w:rsidRPr="00227C94" w:rsidRDefault="00690257" w:rsidP="00690257">
            <w:pPr>
              <w:pStyle w:val="tblHeaderText"/>
            </w:pPr>
          </w:p>
        </w:tc>
        <w:tc>
          <w:tcPr>
            <w:tcW w:w="283" w:type="dxa"/>
            <w:tcBorders>
              <w:top w:val="nil"/>
              <w:left w:val="nil"/>
              <w:bottom w:val="nil"/>
              <w:right w:val="nil"/>
            </w:tcBorders>
          </w:tcPr>
          <w:p w:rsidR="00690257" w:rsidRPr="00227C94" w:rsidRDefault="00690257" w:rsidP="00690257">
            <w:pPr>
              <w:pStyle w:val="tblHeaderText"/>
            </w:pPr>
          </w:p>
        </w:tc>
        <w:tc>
          <w:tcPr>
            <w:tcW w:w="1417" w:type="dxa"/>
            <w:tcBorders>
              <w:top w:val="single" w:sz="6" w:space="0" w:color="auto"/>
              <w:left w:val="nil"/>
              <w:bottom w:val="nil"/>
              <w:right w:val="nil"/>
            </w:tcBorders>
            <w:shd w:val="clear" w:color="auto" w:fill="auto"/>
          </w:tcPr>
          <w:p w:rsidR="00690257" w:rsidRPr="00227C94" w:rsidRDefault="00690257" w:rsidP="00690257">
            <w:pPr>
              <w:pStyle w:val="tblHeaderText"/>
            </w:pP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b/>
              </w:rPr>
            </w:pPr>
            <w:r w:rsidRPr="00227C94">
              <w:rPr>
                <w:b/>
              </w:rPr>
              <w:t>ASSETS</w:t>
            </w: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b/>
              </w:rPr>
            </w:pPr>
            <w:r w:rsidRPr="00227C94">
              <w:rPr>
                <w:b/>
              </w:rPr>
              <w:t>Non-current assets</w:t>
            </w: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r w:rsidRPr="00227C94">
              <w:t>Property, plant and equipment</w:t>
            </w: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2,177,202</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2,056,417</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6</w:t>
            </w: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r w:rsidRPr="00227C94">
              <w:t>Exploration and evaluation assets</w:t>
            </w: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412,322</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399,846</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3</w:t>
            </w: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r w:rsidRPr="00227C94">
              <w:t>Deferred stripping costs</w:t>
            </w: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65,428</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64,460</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2</w:t>
            </w: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r w:rsidRPr="00227C94">
              <w:t>Inventories</w:t>
            </w: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220,360</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207,789</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6</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lang w:val="en-US"/>
              </w:rPr>
            </w:pPr>
            <w:r w:rsidRPr="00227C94">
              <w:rPr>
                <w:lang w:val="en-US"/>
              </w:rPr>
              <w:t>Investments in securities and other financial assets</w:t>
            </w:r>
          </w:p>
        </w:tc>
        <w:tc>
          <w:tcPr>
            <w:tcW w:w="1417" w:type="dxa"/>
            <w:tcBorders>
              <w:top w:val="nil"/>
              <w:left w:val="nil"/>
              <w:right w:val="nil"/>
            </w:tcBorders>
            <w:shd w:val="clear" w:color="auto" w:fill="auto"/>
            <w:vAlign w:val="bottom"/>
          </w:tcPr>
          <w:p w:rsidR="00690257" w:rsidRPr="00227C94" w:rsidRDefault="00690257" w:rsidP="00690257">
            <w:pPr>
              <w:pStyle w:val="tblNumber01"/>
            </w:pPr>
            <w:r w:rsidRPr="00227C94">
              <w:t>3,330</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right w:val="nil"/>
            </w:tcBorders>
            <w:shd w:val="clear" w:color="auto" w:fill="auto"/>
            <w:vAlign w:val="bottom"/>
          </w:tcPr>
          <w:p w:rsidR="00690257" w:rsidRPr="00227C94" w:rsidRDefault="00690257" w:rsidP="00690257">
            <w:pPr>
              <w:pStyle w:val="tblNumber01"/>
            </w:pPr>
            <w:r w:rsidRPr="00227C94">
              <w:t>3,643</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right w:val="nil"/>
            </w:tcBorders>
            <w:shd w:val="clear" w:color="auto" w:fill="auto"/>
            <w:vAlign w:val="bottom"/>
          </w:tcPr>
          <w:p w:rsidR="00690257" w:rsidRPr="00227C94" w:rsidRDefault="00690257" w:rsidP="00690257">
            <w:pPr>
              <w:pStyle w:val="tblNumber00"/>
            </w:pPr>
            <w:r w:rsidRPr="00227C94">
              <w:t>(9)</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r w:rsidRPr="00227C94">
              <w:t>Other non-current assets</w:t>
            </w: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Dash"/>
            </w:pPr>
            <w:r w:rsidRPr="00227C94">
              <w:t>-</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01"/>
            </w:pPr>
            <w:r w:rsidRPr="00227C94">
              <w:t>35</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Dash"/>
            </w:pPr>
            <w:r w:rsidRPr="00227C94">
              <w:t>-</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b/>
              </w:rPr>
            </w:pPr>
            <w:r w:rsidRPr="00227C94">
              <w:rPr>
                <w:b/>
              </w:rPr>
              <w:t>Total non-current assets</w:t>
            </w:r>
          </w:p>
        </w:tc>
        <w:tc>
          <w:tcPr>
            <w:tcW w:w="1417" w:type="dxa"/>
            <w:tcBorders>
              <w:top w:val="single" w:sz="6" w:space="0" w:color="auto"/>
              <w:left w:val="nil"/>
              <w:bottom w:val="single" w:sz="6" w:space="0" w:color="auto"/>
              <w:right w:val="nil"/>
            </w:tcBorders>
            <w:shd w:val="clear" w:color="auto" w:fill="auto"/>
            <w:vAlign w:val="bottom"/>
          </w:tcPr>
          <w:p w:rsidR="00690257" w:rsidRPr="00227C94" w:rsidRDefault="00690257" w:rsidP="00690257">
            <w:pPr>
              <w:pStyle w:val="tblNumber01"/>
              <w:rPr>
                <w:b/>
              </w:rPr>
            </w:pPr>
            <w:r w:rsidRPr="00227C94">
              <w:rPr>
                <w:b/>
              </w:rPr>
              <w:t>2,878,642</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bottom w:val="single" w:sz="6" w:space="0" w:color="auto"/>
              <w:right w:val="nil"/>
            </w:tcBorders>
            <w:shd w:val="clear" w:color="auto" w:fill="auto"/>
            <w:vAlign w:val="bottom"/>
          </w:tcPr>
          <w:p w:rsidR="00690257" w:rsidRPr="00227C94" w:rsidRDefault="00690257" w:rsidP="00690257">
            <w:pPr>
              <w:pStyle w:val="tblNumber01"/>
              <w:rPr>
                <w:b/>
              </w:rPr>
            </w:pPr>
            <w:r w:rsidRPr="00227C94">
              <w:rPr>
                <w:b/>
              </w:rPr>
              <w:t>2,732,190</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bottom w:val="single" w:sz="6" w:space="0" w:color="auto"/>
              <w:right w:val="nil"/>
            </w:tcBorders>
            <w:shd w:val="clear" w:color="auto" w:fill="auto"/>
            <w:vAlign w:val="bottom"/>
          </w:tcPr>
          <w:p w:rsidR="00690257" w:rsidRPr="00227C94" w:rsidRDefault="00690257" w:rsidP="00690257">
            <w:pPr>
              <w:pStyle w:val="tblNumber01"/>
              <w:rPr>
                <w:b/>
              </w:rPr>
            </w:pPr>
            <w:r w:rsidRPr="00227C94">
              <w:rPr>
                <w:b/>
              </w:rPr>
              <w:t>5</w:t>
            </w: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p>
        </w:tc>
        <w:tc>
          <w:tcPr>
            <w:tcW w:w="1417" w:type="dxa"/>
            <w:tcBorders>
              <w:top w:val="single" w:sz="6" w:space="0" w:color="auto"/>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bottom w:val="nil"/>
              <w:right w:val="nil"/>
            </w:tcBorders>
            <w:shd w:val="clear" w:color="auto" w:fill="auto"/>
            <w:vAlign w:val="bottom"/>
          </w:tcPr>
          <w:p w:rsidR="00690257" w:rsidRPr="00227C94" w:rsidRDefault="00690257" w:rsidP="00690257">
            <w:pPr>
              <w:pStyle w:val="tblNumber01"/>
            </w:pP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b/>
              </w:rPr>
            </w:pPr>
            <w:r w:rsidRPr="00227C94">
              <w:rPr>
                <w:b/>
              </w:rPr>
              <w:t>Current assets</w:t>
            </w: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r w:rsidRPr="00227C94">
              <w:t>Inventories</w:t>
            </w: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604,505</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543,023</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11</w:t>
            </w: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lang w:val="en-US"/>
              </w:rPr>
            </w:pPr>
            <w:r w:rsidRPr="00227C94">
              <w:rPr>
                <w:lang w:val="en-US"/>
              </w:rPr>
              <w:t>Investments in securities and other financial assets</w:t>
            </w: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63,707</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63,468</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0</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r w:rsidRPr="00227C94">
              <w:t>Cash and cash equivalents</w:t>
            </w:r>
          </w:p>
        </w:tc>
        <w:tc>
          <w:tcPr>
            <w:tcW w:w="1417" w:type="dxa"/>
            <w:tcBorders>
              <w:top w:val="nil"/>
              <w:left w:val="nil"/>
              <w:right w:val="nil"/>
            </w:tcBorders>
            <w:shd w:val="clear" w:color="auto" w:fill="auto"/>
            <w:vAlign w:val="bottom"/>
          </w:tcPr>
          <w:p w:rsidR="00690257" w:rsidRPr="00227C94" w:rsidRDefault="00690257" w:rsidP="00690257">
            <w:pPr>
              <w:pStyle w:val="tblNumber01"/>
            </w:pPr>
            <w:r w:rsidRPr="00227C94">
              <w:t>847,954</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right w:val="nil"/>
            </w:tcBorders>
            <w:shd w:val="clear" w:color="auto" w:fill="auto"/>
            <w:vAlign w:val="bottom"/>
          </w:tcPr>
          <w:p w:rsidR="00690257" w:rsidRPr="00227C94" w:rsidRDefault="00690257" w:rsidP="00690257">
            <w:pPr>
              <w:pStyle w:val="tblNumber01"/>
            </w:pPr>
            <w:r w:rsidRPr="00227C94">
              <w:t>657,448</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right w:val="nil"/>
            </w:tcBorders>
            <w:shd w:val="clear" w:color="auto" w:fill="auto"/>
            <w:vAlign w:val="bottom"/>
          </w:tcPr>
          <w:p w:rsidR="00690257" w:rsidRPr="00227C94" w:rsidRDefault="00690257" w:rsidP="00690257">
            <w:pPr>
              <w:pStyle w:val="tblNumber01"/>
            </w:pPr>
            <w:r w:rsidRPr="00227C94">
              <w:t>29</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r w:rsidRPr="00227C94">
              <w:t>Other current assets</w:t>
            </w:r>
            <w:r w:rsidRPr="00227C94">
              <w:rPr>
                <w:vertAlign w:val="superscript"/>
              </w:rPr>
              <w:t>(1)</w:t>
            </w: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01"/>
            </w:pPr>
            <w:r w:rsidRPr="00227C94">
              <w:t>254,994</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01"/>
            </w:pPr>
            <w:r w:rsidRPr="00227C94">
              <w:t>222,882</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01"/>
            </w:pPr>
            <w:r w:rsidRPr="00227C94">
              <w:t>14</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b/>
              </w:rPr>
            </w:pPr>
            <w:r w:rsidRPr="00227C94">
              <w:rPr>
                <w:b/>
              </w:rPr>
              <w:t>Total current assets</w:t>
            </w:r>
          </w:p>
        </w:tc>
        <w:tc>
          <w:tcPr>
            <w:tcW w:w="1417" w:type="dxa"/>
            <w:tcBorders>
              <w:top w:val="single" w:sz="6" w:space="0" w:color="auto"/>
              <w:left w:val="nil"/>
              <w:bottom w:val="single" w:sz="6" w:space="0" w:color="auto"/>
              <w:right w:val="nil"/>
            </w:tcBorders>
            <w:shd w:val="clear" w:color="auto" w:fill="auto"/>
            <w:vAlign w:val="bottom"/>
          </w:tcPr>
          <w:p w:rsidR="00690257" w:rsidRPr="00227C94" w:rsidRDefault="00690257" w:rsidP="00690257">
            <w:pPr>
              <w:pStyle w:val="tblNumber01"/>
              <w:rPr>
                <w:b/>
              </w:rPr>
            </w:pPr>
            <w:r w:rsidRPr="00227C94">
              <w:rPr>
                <w:b/>
              </w:rPr>
              <w:t>1,771,160</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bottom w:val="single" w:sz="6" w:space="0" w:color="auto"/>
              <w:right w:val="nil"/>
            </w:tcBorders>
            <w:shd w:val="clear" w:color="auto" w:fill="auto"/>
            <w:vAlign w:val="bottom"/>
          </w:tcPr>
          <w:p w:rsidR="00690257" w:rsidRPr="00227C94" w:rsidRDefault="00690257" w:rsidP="00690257">
            <w:pPr>
              <w:pStyle w:val="tblNumber01"/>
              <w:rPr>
                <w:b/>
              </w:rPr>
            </w:pPr>
            <w:r w:rsidRPr="00227C94">
              <w:rPr>
                <w:b/>
              </w:rPr>
              <w:t>1,486,821</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bottom w:val="single" w:sz="6" w:space="0" w:color="auto"/>
              <w:right w:val="nil"/>
            </w:tcBorders>
            <w:shd w:val="clear" w:color="auto" w:fill="auto"/>
            <w:vAlign w:val="bottom"/>
          </w:tcPr>
          <w:p w:rsidR="00690257" w:rsidRPr="00227C94" w:rsidRDefault="00690257" w:rsidP="00690257">
            <w:pPr>
              <w:pStyle w:val="tblNumber01"/>
              <w:rPr>
                <w:b/>
              </w:rPr>
            </w:pPr>
            <w:r w:rsidRPr="00227C94">
              <w:rPr>
                <w:b/>
              </w:rPr>
              <w:t>19</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p>
        </w:tc>
        <w:tc>
          <w:tcPr>
            <w:tcW w:w="1417" w:type="dxa"/>
            <w:tcBorders>
              <w:top w:val="single" w:sz="6" w:space="0" w:color="auto"/>
              <w:left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right w:val="nil"/>
            </w:tcBorders>
            <w:shd w:val="clear" w:color="auto" w:fill="auto"/>
            <w:vAlign w:val="bottom"/>
          </w:tcPr>
          <w:p w:rsidR="00690257" w:rsidRPr="00227C94" w:rsidRDefault="00690257" w:rsidP="00690257">
            <w:pPr>
              <w:pStyle w:val="tblNumber01"/>
            </w:pP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b/>
              </w:rPr>
            </w:pPr>
            <w:r w:rsidRPr="00227C94">
              <w:rPr>
                <w:b/>
              </w:rPr>
              <w:t>TOTAL ASSETS</w:t>
            </w:r>
          </w:p>
        </w:tc>
        <w:tc>
          <w:tcPr>
            <w:tcW w:w="1417" w:type="dxa"/>
            <w:tcBorders>
              <w:top w:val="nil"/>
              <w:left w:val="nil"/>
              <w:bottom w:val="double" w:sz="6" w:space="0" w:color="auto"/>
              <w:right w:val="nil"/>
            </w:tcBorders>
            <w:shd w:val="clear" w:color="auto" w:fill="auto"/>
            <w:vAlign w:val="bottom"/>
          </w:tcPr>
          <w:p w:rsidR="00690257" w:rsidRPr="00227C94" w:rsidRDefault="00690257" w:rsidP="00690257">
            <w:pPr>
              <w:pStyle w:val="tblNumber01"/>
              <w:rPr>
                <w:b/>
              </w:rPr>
            </w:pPr>
            <w:r w:rsidRPr="00227C94">
              <w:rPr>
                <w:b/>
              </w:rPr>
              <w:t>4,649,802</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double" w:sz="6" w:space="0" w:color="auto"/>
              <w:right w:val="nil"/>
            </w:tcBorders>
            <w:shd w:val="clear" w:color="auto" w:fill="auto"/>
            <w:vAlign w:val="bottom"/>
          </w:tcPr>
          <w:p w:rsidR="00690257" w:rsidRPr="00227C94" w:rsidRDefault="00690257" w:rsidP="00690257">
            <w:pPr>
              <w:pStyle w:val="tblNumber01"/>
              <w:rPr>
                <w:b/>
              </w:rPr>
            </w:pPr>
            <w:r w:rsidRPr="00227C94">
              <w:rPr>
                <w:b/>
              </w:rPr>
              <w:t>4,219,011</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double" w:sz="6" w:space="0" w:color="auto"/>
              <w:right w:val="nil"/>
            </w:tcBorders>
            <w:shd w:val="clear" w:color="auto" w:fill="auto"/>
            <w:vAlign w:val="bottom"/>
          </w:tcPr>
          <w:p w:rsidR="00690257" w:rsidRPr="00227C94" w:rsidRDefault="00690257" w:rsidP="00690257">
            <w:pPr>
              <w:pStyle w:val="tblNumber01"/>
              <w:rPr>
                <w:b/>
              </w:rPr>
            </w:pPr>
            <w:r w:rsidRPr="00227C94">
              <w:rPr>
                <w:b/>
              </w:rPr>
              <w:t>10</w:t>
            </w: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p>
        </w:tc>
        <w:tc>
          <w:tcPr>
            <w:tcW w:w="1417" w:type="dxa"/>
            <w:tcBorders>
              <w:top w:val="double" w:sz="6" w:space="0" w:color="auto"/>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double" w:sz="6" w:space="0" w:color="auto"/>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double" w:sz="6" w:space="0" w:color="auto"/>
              <w:left w:val="nil"/>
              <w:bottom w:val="nil"/>
              <w:right w:val="nil"/>
            </w:tcBorders>
            <w:shd w:val="clear" w:color="auto" w:fill="auto"/>
            <w:vAlign w:val="bottom"/>
          </w:tcPr>
          <w:p w:rsidR="00690257" w:rsidRPr="00227C94" w:rsidRDefault="00690257" w:rsidP="00690257">
            <w:pPr>
              <w:pStyle w:val="tblNumber01"/>
            </w:pP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b/>
              </w:rPr>
            </w:pPr>
            <w:r w:rsidRPr="00227C94">
              <w:rPr>
                <w:b/>
              </w:rPr>
              <w:t>EQUITY AND LIABILITIES</w:t>
            </w: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lang w:val="en-US"/>
              </w:rPr>
            </w:pPr>
            <w:r w:rsidRPr="00227C94">
              <w:rPr>
                <w:lang w:val="en-US"/>
              </w:rPr>
              <w:t>Equity attributable to shareholders of the parent company</w:t>
            </w:r>
          </w:p>
        </w:tc>
        <w:tc>
          <w:tcPr>
            <w:tcW w:w="1417" w:type="dxa"/>
            <w:tcBorders>
              <w:top w:val="nil"/>
              <w:left w:val="nil"/>
              <w:right w:val="nil"/>
            </w:tcBorders>
            <w:shd w:val="clear" w:color="auto" w:fill="auto"/>
            <w:vAlign w:val="bottom"/>
          </w:tcPr>
          <w:p w:rsidR="00690257" w:rsidRPr="00227C94" w:rsidRDefault="00690257" w:rsidP="00690257">
            <w:pPr>
              <w:pStyle w:val="tblNumber01"/>
            </w:pPr>
            <w:r w:rsidRPr="00227C94">
              <w:t>3,367,157</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right w:val="nil"/>
            </w:tcBorders>
            <w:shd w:val="clear" w:color="auto" w:fill="auto"/>
            <w:vAlign w:val="bottom"/>
          </w:tcPr>
          <w:p w:rsidR="00690257" w:rsidRPr="00227C94" w:rsidRDefault="00690257" w:rsidP="00690257">
            <w:pPr>
              <w:pStyle w:val="tblNumber01"/>
            </w:pPr>
            <w:r w:rsidRPr="00227C94">
              <w:t>2,595,356</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right w:val="nil"/>
            </w:tcBorders>
            <w:shd w:val="clear" w:color="auto" w:fill="auto"/>
            <w:vAlign w:val="bottom"/>
          </w:tcPr>
          <w:p w:rsidR="00690257" w:rsidRPr="00227C94" w:rsidRDefault="00690257" w:rsidP="00690257">
            <w:pPr>
              <w:pStyle w:val="tblNumber01"/>
            </w:pPr>
            <w:r w:rsidRPr="00227C94">
              <w:t>30</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r w:rsidRPr="00227C94">
              <w:t>Non-controlling interest</w:t>
            </w: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01"/>
            </w:pPr>
            <w:r w:rsidRPr="00227C94">
              <w:t>289,518</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01"/>
            </w:pPr>
            <w:r w:rsidRPr="00227C94">
              <w:t>235,317</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01"/>
            </w:pPr>
            <w:r w:rsidRPr="00227C94">
              <w:t>23</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b/>
              </w:rPr>
            </w:pPr>
            <w:r w:rsidRPr="00227C94">
              <w:rPr>
                <w:b/>
              </w:rPr>
              <w:t>TOTAL EQUITY</w:t>
            </w:r>
          </w:p>
        </w:tc>
        <w:tc>
          <w:tcPr>
            <w:tcW w:w="1417" w:type="dxa"/>
            <w:tcBorders>
              <w:top w:val="single" w:sz="6" w:space="0" w:color="auto"/>
              <w:left w:val="nil"/>
              <w:bottom w:val="single" w:sz="6" w:space="0" w:color="auto"/>
              <w:right w:val="nil"/>
            </w:tcBorders>
            <w:shd w:val="clear" w:color="auto" w:fill="auto"/>
            <w:vAlign w:val="bottom"/>
          </w:tcPr>
          <w:p w:rsidR="00690257" w:rsidRPr="00227C94" w:rsidRDefault="00690257" w:rsidP="00690257">
            <w:pPr>
              <w:pStyle w:val="tblNumber01"/>
              <w:rPr>
                <w:b/>
              </w:rPr>
            </w:pPr>
            <w:r w:rsidRPr="00227C94">
              <w:rPr>
                <w:b/>
              </w:rPr>
              <w:t>3,656,675</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bottom w:val="single" w:sz="6" w:space="0" w:color="auto"/>
              <w:right w:val="nil"/>
            </w:tcBorders>
            <w:shd w:val="clear" w:color="auto" w:fill="auto"/>
            <w:vAlign w:val="bottom"/>
          </w:tcPr>
          <w:p w:rsidR="00690257" w:rsidRPr="00227C94" w:rsidRDefault="00690257" w:rsidP="00690257">
            <w:pPr>
              <w:pStyle w:val="tblNumber01"/>
              <w:rPr>
                <w:b/>
              </w:rPr>
            </w:pPr>
            <w:r w:rsidRPr="00227C94">
              <w:rPr>
                <w:b/>
              </w:rPr>
              <w:t>2,830,673</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bottom w:val="single" w:sz="6" w:space="0" w:color="auto"/>
              <w:right w:val="nil"/>
            </w:tcBorders>
            <w:shd w:val="clear" w:color="auto" w:fill="auto"/>
            <w:vAlign w:val="bottom"/>
          </w:tcPr>
          <w:p w:rsidR="00690257" w:rsidRPr="00227C94" w:rsidRDefault="00690257" w:rsidP="00690257">
            <w:pPr>
              <w:pStyle w:val="tblNumber01"/>
              <w:rPr>
                <w:b/>
              </w:rPr>
            </w:pPr>
            <w:r w:rsidRPr="00227C94">
              <w:rPr>
                <w:b/>
              </w:rPr>
              <w:t>29</w:t>
            </w: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p>
        </w:tc>
        <w:tc>
          <w:tcPr>
            <w:tcW w:w="1417" w:type="dxa"/>
            <w:tcBorders>
              <w:top w:val="single" w:sz="6" w:space="0" w:color="auto"/>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bottom w:val="nil"/>
              <w:right w:val="nil"/>
            </w:tcBorders>
            <w:shd w:val="clear" w:color="auto" w:fill="auto"/>
            <w:vAlign w:val="bottom"/>
          </w:tcPr>
          <w:p w:rsidR="00690257" w:rsidRPr="00227C94" w:rsidRDefault="00690257" w:rsidP="00690257">
            <w:pPr>
              <w:pStyle w:val="tblNumber01"/>
            </w:pP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b/>
              </w:rPr>
            </w:pPr>
            <w:r w:rsidRPr="00227C94">
              <w:rPr>
                <w:b/>
              </w:rPr>
              <w:t>Non-current liabilities</w:t>
            </w: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lang w:val="en-US"/>
              </w:rPr>
            </w:pPr>
            <w:r w:rsidRPr="00227C94">
              <w:rPr>
                <w:lang w:val="en-US"/>
              </w:rPr>
              <w:t>Site restoration and environmental obligations</w:t>
            </w: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150,083</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149,876</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0</w:t>
            </w: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r w:rsidRPr="00227C94">
              <w:t>Borrowings</w:t>
            </w: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302,176</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rPr>
                <w:lang w:val="en-GB"/>
              </w:rPr>
            </w:pPr>
            <w:r w:rsidRPr="00227C94">
              <w:t>123,0</w:t>
            </w:r>
            <w:r w:rsidR="001C03A7" w:rsidRPr="00227C94">
              <w:rPr>
                <w:lang w:val="en-GB"/>
              </w:rPr>
              <w:t>48</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146</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r w:rsidRPr="00227C94">
              <w:t>Deferred tax liabilities</w:t>
            </w:r>
          </w:p>
        </w:tc>
        <w:tc>
          <w:tcPr>
            <w:tcW w:w="1417" w:type="dxa"/>
            <w:tcBorders>
              <w:top w:val="nil"/>
              <w:left w:val="nil"/>
              <w:right w:val="nil"/>
            </w:tcBorders>
            <w:shd w:val="clear" w:color="auto" w:fill="auto"/>
            <w:vAlign w:val="bottom"/>
          </w:tcPr>
          <w:p w:rsidR="00690257" w:rsidRPr="00227C94" w:rsidRDefault="00690257" w:rsidP="00690257">
            <w:pPr>
              <w:pStyle w:val="tblNumber01"/>
            </w:pPr>
            <w:r w:rsidRPr="00227C94">
              <w:t>187,139</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right w:val="nil"/>
            </w:tcBorders>
            <w:shd w:val="clear" w:color="auto" w:fill="auto"/>
            <w:vAlign w:val="bottom"/>
          </w:tcPr>
          <w:p w:rsidR="00690257" w:rsidRPr="00227C94" w:rsidRDefault="00690257" w:rsidP="00690257">
            <w:pPr>
              <w:pStyle w:val="tblNumber01"/>
            </w:pPr>
            <w:r w:rsidRPr="00227C94">
              <w:t>180,741</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right w:val="nil"/>
            </w:tcBorders>
            <w:shd w:val="clear" w:color="auto" w:fill="auto"/>
            <w:vAlign w:val="bottom"/>
          </w:tcPr>
          <w:p w:rsidR="00690257" w:rsidRPr="00227C94" w:rsidRDefault="00690257" w:rsidP="00690257">
            <w:pPr>
              <w:pStyle w:val="tblNumber01"/>
            </w:pPr>
            <w:r w:rsidRPr="00227C94">
              <w:t>4</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r w:rsidRPr="00227C94">
              <w:t>Other non-current liabilities</w:t>
            </w: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01"/>
            </w:pPr>
            <w:r w:rsidRPr="00227C94">
              <w:t>22,854</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01"/>
            </w:pPr>
            <w:r w:rsidRPr="00227C94">
              <w:t>24,008</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00"/>
            </w:pPr>
            <w:r w:rsidRPr="00227C94">
              <w:t>(5)</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b/>
              </w:rPr>
            </w:pPr>
            <w:r w:rsidRPr="00227C94">
              <w:rPr>
                <w:b/>
              </w:rPr>
              <w:t>Total non-current liabilities</w:t>
            </w:r>
          </w:p>
        </w:tc>
        <w:tc>
          <w:tcPr>
            <w:tcW w:w="1417" w:type="dxa"/>
            <w:tcBorders>
              <w:top w:val="single" w:sz="6" w:space="0" w:color="auto"/>
              <w:left w:val="nil"/>
              <w:bottom w:val="single" w:sz="6" w:space="0" w:color="auto"/>
              <w:right w:val="nil"/>
            </w:tcBorders>
            <w:shd w:val="clear" w:color="auto" w:fill="auto"/>
            <w:vAlign w:val="bottom"/>
          </w:tcPr>
          <w:p w:rsidR="00690257" w:rsidRPr="00227C94" w:rsidRDefault="00690257" w:rsidP="00690257">
            <w:pPr>
              <w:pStyle w:val="tblNumber01"/>
              <w:rPr>
                <w:b/>
              </w:rPr>
            </w:pPr>
            <w:r w:rsidRPr="00227C94">
              <w:rPr>
                <w:b/>
              </w:rPr>
              <w:t>662,252</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bottom w:val="single" w:sz="6" w:space="0" w:color="auto"/>
              <w:right w:val="nil"/>
            </w:tcBorders>
            <w:shd w:val="clear" w:color="auto" w:fill="auto"/>
            <w:vAlign w:val="bottom"/>
          </w:tcPr>
          <w:p w:rsidR="00690257" w:rsidRPr="00227C94" w:rsidRDefault="00690257" w:rsidP="00690257">
            <w:pPr>
              <w:pStyle w:val="tblNumber01"/>
              <w:rPr>
                <w:b/>
              </w:rPr>
            </w:pPr>
            <w:r w:rsidRPr="00227C94">
              <w:rPr>
                <w:b/>
              </w:rPr>
              <w:t>477,673</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bottom w:val="single" w:sz="6" w:space="0" w:color="auto"/>
              <w:right w:val="nil"/>
            </w:tcBorders>
            <w:shd w:val="clear" w:color="auto" w:fill="auto"/>
            <w:vAlign w:val="bottom"/>
          </w:tcPr>
          <w:p w:rsidR="00690257" w:rsidRPr="00227C94" w:rsidRDefault="00690257" w:rsidP="00690257">
            <w:pPr>
              <w:pStyle w:val="tblNumber01"/>
              <w:rPr>
                <w:b/>
              </w:rPr>
            </w:pPr>
            <w:r w:rsidRPr="00227C94">
              <w:rPr>
                <w:b/>
              </w:rPr>
              <w:t>39</w:t>
            </w: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p>
        </w:tc>
        <w:tc>
          <w:tcPr>
            <w:tcW w:w="1417" w:type="dxa"/>
            <w:tcBorders>
              <w:top w:val="single" w:sz="6" w:space="0" w:color="auto"/>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bottom w:val="nil"/>
              <w:right w:val="nil"/>
            </w:tcBorders>
            <w:shd w:val="clear" w:color="auto" w:fill="auto"/>
            <w:vAlign w:val="bottom"/>
          </w:tcPr>
          <w:p w:rsidR="00690257" w:rsidRPr="00227C94" w:rsidRDefault="00690257" w:rsidP="00690257">
            <w:pPr>
              <w:pStyle w:val="tblNumber01"/>
            </w:pP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r w:rsidRPr="00227C94">
              <w:t>Current liabilities</w:t>
            </w: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r w:rsidRPr="00227C94">
              <w:t>Borrowings</w:t>
            </w: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33,333</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1"/>
            </w:pPr>
            <w:r w:rsidRPr="00227C94">
              <w:t>675,632</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shd w:val="clear" w:color="auto" w:fill="auto"/>
            <w:vAlign w:val="bottom"/>
          </w:tcPr>
          <w:p w:rsidR="00690257" w:rsidRPr="00227C94" w:rsidRDefault="00690257" w:rsidP="00690257">
            <w:pPr>
              <w:pStyle w:val="tblNumber00"/>
            </w:pPr>
            <w:r w:rsidRPr="00227C94">
              <w:t>(95)</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lang w:val="en-US"/>
              </w:rPr>
            </w:pPr>
            <w:r w:rsidRPr="00227C94">
              <w:rPr>
                <w:lang w:val="en-US"/>
              </w:rPr>
              <w:t>Trade and other payables and accrued expenses</w:t>
            </w:r>
          </w:p>
        </w:tc>
        <w:tc>
          <w:tcPr>
            <w:tcW w:w="1417" w:type="dxa"/>
            <w:tcBorders>
              <w:top w:val="nil"/>
              <w:left w:val="nil"/>
              <w:right w:val="nil"/>
            </w:tcBorders>
            <w:shd w:val="clear" w:color="auto" w:fill="auto"/>
            <w:vAlign w:val="bottom"/>
          </w:tcPr>
          <w:p w:rsidR="00690257" w:rsidRPr="00227C94" w:rsidRDefault="00690257" w:rsidP="00690257">
            <w:pPr>
              <w:pStyle w:val="tblNumber01"/>
            </w:pPr>
            <w:r w:rsidRPr="00227C94">
              <w:t>252,581</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right w:val="nil"/>
            </w:tcBorders>
            <w:shd w:val="clear" w:color="auto" w:fill="auto"/>
            <w:vAlign w:val="bottom"/>
          </w:tcPr>
          <w:p w:rsidR="00690257" w:rsidRPr="00227C94" w:rsidRDefault="00690257" w:rsidP="00690257">
            <w:pPr>
              <w:pStyle w:val="tblNumber01"/>
            </w:pPr>
            <w:r w:rsidRPr="00227C94">
              <w:t>192,077</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right w:val="nil"/>
            </w:tcBorders>
            <w:shd w:val="clear" w:color="auto" w:fill="auto"/>
            <w:vAlign w:val="bottom"/>
          </w:tcPr>
          <w:p w:rsidR="00690257" w:rsidRPr="00227C94" w:rsidRDefault="00690257" w:rsidP="00690257">
            <w:pPr>
              <w:pStyle w:val="tblNumber01"/>
            </w:pPr>
            <w:r w:rsidRPr="00227C94">
              <w:t>31</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r w:rsidRPr="00227C94">
              <w:t>Taxes payable</w:t>
            </w: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01"/>
            </w:pPr>
            <w:r w:rsidRPr="00227C94">
              <w:t>44,961</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01"/>
            </w:pPr>
            <w:r w:rsidRPr="00227C94">
              <w:t>42,956</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01"/>
            </w:pPr>
            <w:r w:rsidRPr="00227C94">
              <w:t>5</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b/>
              </w:rPr>
            </w:pPr>
            <w:r w:rsidRPr="00227C94">
              <w:rPr>
                <w:b/>
              </w:rPr>
              <w:t>Total current liabilities</w:t>
            </w:r>
          </w:p>
        </w:tc>
        <w:tc>
          <w:tcPr>
            <w:tcW w:w="1417" w:type="dxa"/>
            <w:tcBorders>
              <w:top w:val="single" w:sz="6" w:space="0" w:color="auto"/>
              <w:left w:val="nil"/>
              <w:bottom w:val="single" w:sz="6" w:space="0" w:color="auto"/>
              <w:right w:val="nil"/>
            </w:tcBorders>
            <w:shd w:val="clear" w:color="auto" w:fill="auto"/>
            <w:vAlign w:val="bottom"/>
          </w:tcPr>
          <w:p w:rsidR="00690257" w:rsidRPr="00227C94" w:rsidRDefault="00690257" w:rsidP="00690257">
            <w:pPr>
              <w:pStyle w:val="tblNumber01"/>
              <w:rPr>
                <w:b/>
              </w:rPr>
            </w:pPr>
            <w:r w:rsidRPr="00227C94">
              <w:rPr>
                <w:b/>
              </w:rPr>
              <w:t>330,875</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bottom w:val="single" w:sz="6" w:space="0" w:color="auto"/>
              <w:right w:val="nil"/>
            </w:tcBorders>
            <w:shd w:val="clear" w:color="auto" w:fill="auto"/>
            <w:vAlign w:val="bottom"/>
          </w:tcPr>
          <w:p w:rsidR="00690257" w:rsidRPr="00227C94" w:rsidRDefault="00690257" w:rsidP="00690257">
            <w:pPr>
              <w:pStyle w:val="tblNumber01"/>
              <w:rPr>
                <w:b/>
              </w:rPr>
            </w:pPr>
            <w:r w:rsidRPr="00227C94">
              <w:rPr>
                <w:b/>
              </w:rPr>
              <w:t>910,665</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bottom w:val="single" w:sz="6" w:space="0" w:color="auto"/>
              <w:right w:val="nil"/>
            </w:tcBorders>
            <w:shd w:val="clear" w:color="auto" w:fill="auto"/>
            <w:vAlign w:val="bottom"/>
          </w:tcPr>
          <w:p w:rsidR="00690257" w:rsidRPr="00227C94" w:rsidRDefault="00690257" w:rsidP="00690257">
            <w:pPr>
              <w:pStyle w:val="tblNumber00"/>
              <w:rPr>
                <w:b/>
              </w:rPr>
            </w:pPr>
            <w:r w:rsidRPr="00227C94">
              <w:rPr>
                <w:b/>
              </w:rPr>
              <w:t>(64)</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pPr>
          </w:p>
        </w:tc>
        <w:tc>
          <w:tcPr>
            <w:tcW w:w="1417" w:type="dxa"/>
            <w:tcBorders>
              <w:top w:val="single" w:sz="6" w:space="0" w:color="auto"/>
              <w:left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right w:val="nil"/>
            </w:tcBorders>
            <w:shd w:val="clear" w:color="auto" w:fill="auto"/>
            <w:vAlign w:val="bottom"/>
          </w:tcPr>
          <w:p w:rsidR="00690257" w:rsidRPr="00227C94" w:rsidRDefault="00690257" w:rsidP="00690257">
            <w:pPr>
              <w:pStyle w:val="tblNumber01"/>
            </w:pP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b/>
              </w:rPr>
            </w:pPr>
            <w:r w:rsidRPr="00227C94">
              <w:rPr>
                <w:b/>
              </w:rPr>
              <w:t>TOTAL LIABILITIES</w:t>
            </w:r>
          </w:p>
        </w:tc>
        <w:tc>
          <w:tcPr>
            <w:tcW w:w="1417" w:type="dxa"/>
            <w:tcBorders>
              <w:top w:val="nil"/>
              <w:left w:val="nil"/>
              <w:bottom w:val="double" w:sz="6" w:space="0" w:color="auto"/>
              <w:right w:val="nil"/>
            </w:tcBorders>
            <w:shd w:val="clear" w:color="auto" w:fill="auto"/>
            <w:vAlign w:val="bottom"/>
          </w:tcPr>
          <w:p w:rsidR="00690257" w:rsidRPr="00227C94" w:rsidRDefault="00690257" w:rsidP="00690257">
            <w:pPr>
              <w:pStyle w:val="tblNumber01"/>
              <w:rPr>
                <w:b/>
              </w:rPr>
            </w:pPr>
            <w:r w:rsidRPr="00227C94">
              <w:rPr>
                <w:b/>
              </w:rPr>
              <w:t>993,127</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double" w:sz="6" w:space="0" w:color="auto"/>
              <w:right w:val="nil"/>
            </w:tcBorders>
            <w:shd w:val="clear" w:color="auto" w:fill="auto"/>
            <w:vAlign w:val="bottom"/>
          </w:tcPr>
          <w:p w:rsidR="00690257" w:rsidRPr="00227C94" w:rsidRDefault="00690257" w:rsidP="00690257">
            <w:pPr>
              <w:pStyle w:val="tblNumber01"/>
              <w:rPr>
                <w:b/>
              </w:rPr>
            </w:pPr>
            <w:r w:rsidRPr="00227C94">
              <w:rPr>
                <w:b/>
              </w:rPr>
              <w:t>1,388,338</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double" w:sz="6" w:space="0" w:color="auto"/>
              <w:right w:val="nil"/>
            </w:tcBorders>
            <w:shd w:val="clear" w:color="auto" w:fill="auto"/>
            <w:vAlign w:val="bottom"/>
          </w:tcPr>
          <w:p w:rsidR="00690257" w:rsidRPr="00227C94" w:rsidRDefault="00690257" w:rsidP="00690257">
            <w:pPr>
              <w:pStyle w:val="tblNumber00"/>
              <w:rPr>
                <w:b/>
              </w:rPr>
            </w:pPr>
            <w:r w:rsidRPr="00227C94">
              <w:rPr>
                <w:b/>
              </w:rPr>
              <w:t>(28)</w:t>
            </w:r>
          </w:p>
        </w:tc>
      </w:tr>
      <w:tr w:rsidR="00690257" w:rsidRPr="00227C94" w:rsidTr="00A701F4">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b/>
              </w:rPr>
            </w:pPr>
          </w:p>
        </w:tc>
        <w:tc>
          <w:tcPr>
            <w:tcW w:w="1417" w:type="dxa"/>
            <w:tcBorders>
              <w:top w:val="double" w:sz="6" w:space="0" w:color="auto"/>
              <w:left w:val="nil"/>
              <w:right w:val="nil"/>
            </w:tcBorders>
            <w:shd w:val="clear" w:color="auto" w:fill="auto"/>
            <w:vAlign w:val="bottom"/>
          </w:tcPr>
          <w:p w:rsidR="00690257" w:rsidRPr="00227C94" w:rsidRDefault="00690257" w:rsidP="00690257">
            <w:pPr>
              <w:pStyle w:val="tblNumber01"/>
              <w:rPr>
                <w:b/>
              </w:rPr>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double" w:sz="6" w:space="0" w:color="auto"/>
              <w:left w:val="nil"/>
              <w:right w:val="nil"/>
            </w:tcBorders>
            <w:shd w:val="clear" w:color="auto" w:fill="auto"/>
            <w:vAlign w:val="bottom"/>
          </w:tcPr>
          <w:p w:rsidR="00690257" w:rsidRPr="00227C94" w:rsidRDefault="00690257" w:rsidP="00690257">
            <w:pPr>
              <w:pStyle w:val="tblNumber01"/>
              <w:rPr>
                <w:b/>
              </w:rPr>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double" w:sz="6" w:space="0" w:color="auto"/>
              <w:left w:val="nil"/>
              <w:right w:val="nil"/>
            </w:tcBorders>
            <w:shd w:val="clear" w:color="auto" w:fill="auto"/>
            <w:vAlign w:val="bottom"/>
          </w:tcPr>
          <w:p w:rsidR="00690257" w:rsidRPr="00227C94" w:rsidRDefault="00690257" w:rsidP="00690257">
            <w:pPr>
              <w:pStyle w:val="tblNumber00"/>
              <w:rPr>
                <w:b/>
              </w:rPr>
            </w:pPr>
          </w:p>
        </w:tc>
      </w:tr>
      <w:tr w:rsidR="00690257" w:rsidRPr="00227C94" w:rsidTr="00690257">
        <w:trPr>
          <w:cantSplit/>
        </w:trPr>
        <w:tc>
          <w:tcPr>
            <w:tcW w:w="4118" w:type="dxa"/>
            <w:tcBorders>
              <w:top w:val="nil"/>
              <w:left w:val="nil"/>
              <w:bottom w:val="nil"/>
              <w:right w:val="nil"/>
            </w:tcBorders>
            <w:shd w:val="clear" w:color="auto" w:fill="auto"/>
          </w:tcPr>
          <w:p w:rsidR="00690257" w:rsidRPr="00227C94" w:rsidRDefault="00690257" w:rsidP="00690257">
            <w:pPr>
              <w:pStyle w:val="tblText02"/>
              <w:rPr>
                <w:b/>
              </w:rPr>
            </w:pPr>
            <w:r w:rsidRPr="00227C94">
              <w:rPr>
                <w:b/>
              </w:rPr>
              <w:t>TOTAL EQUITY AND LIABILITIES</w:t>
            </w:r>
          </w:p>
        </w:tc>
        <w:tc>
          <w:tcPr>
            <w:tcW w:w="1417" w:type="dxa"/>
            <w:tcBorders>
              <w:top w:val="nil"/>
              <w:left w:val="nil"/>
              <w:bottom w:val="double" w:sz="6" w:space="0" w:color="auto"/>
              <w:right w:val="nil"/>
            </w:tcBorders>
            <w:shd w:val="clear" w:color="auto" w:fill="auto"/>
            <w:vAlign w:val="bottom"/>
          </w:tcPr>
          <w:p w:rsidR="00690257" w:rsidRPr="00227C94" w:rsidRDefault="00690257" w:rsidP="00690257">
            <w:pPr>
              <w:pStyle w:val="tblNumber01"/>
              <w:rPr>
                <w:b/>
              </w:rPr>
            </w:pPr>
            <w:r w:rsidRPr="00227C94">
              <w:rPr>
                <w:b/>
              </w:rPr>
              <w:t>4,649,802</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double" w:sz="6" w:space="0" w:color="auto"/>
              <w:right w:val="nil"/>
            </w:tcBorders>
            <w:shd w:val="clear" w:color="auto" w:fill="auto"/>
            <w:vAlign w:val="bottom"/>
          </w:tcPr>
          <w:p w:rsidR="00690257" w:rsidRPr="00227C94" w:rsidRDefault="00690257" w:rsidP="00690257">
            <w:pPr>
              <w:pStyle w:val="tblNumber01"/>
              <w:rPr>
                <w:b/>
              </w:rPr>
            </w:pPr>
            <w:r w:rsidRPr="00227C94">
              <w:rPr>
                <w:b/>
              </w:rPr>
              <w:t>4,219,011</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double" w:sz="6" w:space="0" w:color="auto"/>
              <w:right w:val="nil"/>
            </w:tcBorders>
            <w:shd w:val="clear" w:color="auto" w:fill="auto"/>
            <w:vAlign w:val="bottom"/>
          </w:tcPr>
          <w:p w:rsidR="00690257" w:rsidRPr="00227C94" w:rsidRDefault="00690257" w:rsidP="00690257">
            <w:pPr>
              <w:pStyle w:val="tblNumber01"/>
              <w:rPr>
                <w:b/>
              </w:rPr>
            </w:pPr>
            <w:r w:rsidRPr="00227C94">
              <w:rPr>
                <w:b/>
              </w:rPr>
              <w:t>10</w:t>
            </w:r>
          </w:p>
        </w:tc>
      </w:tr>
    </w:tbl>
    <w:p w:rsidR="00690257" w:rsidRPr="00227C94" w:rsidRDefault="00690257" w:rsidP="00690257">
      <w:pPr>
        <w:pStyle w:val="23"/>
        <w:rPr>
          <w:color w:val="auto"/>
          <w:sz w:val="18"/>
          <w:szCs w:val="18"/>
        </w:rPr>
      </w:pPr>
      <w:bookmarkStart w:id="301" w:name="_DV_M299"/>
      <w:bookmarkEnd w:id="301"/>
      <w:r w:rsidRPr="00227C94">
        <w:rPr>
          <w:color w:val="auto"/>
          <w:sz w:val="18"/>
          <w:szCs w:val="18"/>
        </w:rPr>
        <w:t>_______</w:t>
      </w:r>
      <w:r w:rsidRPr="00227C94">
        <w:rPr>
          <w:color w:val="auto"/>
          <w:sz w:val="18"/>
          <w:szCs w:val="18"/>
          <w:lang w:val="en-US"/>
        </w:rPr>
        <w:t>____________</w:t>
      </w:r>
      <w:r w:rsidRPr="00227C94">
        <w:rPr>
          <w:color w:val="auto"/>
          <w:sz w:val="18"/>
          <w:szCs w:val="18"/>
        </w:rPr>
        <w:t>_________</w:t>
      </w:r>
    </w:p>
    <w:p w:rsidR="00916675" w:rsidRPr="00227C94" w:rsidRDefault="00916675" w:rsidP="002E73D5">
      <w:pPr>
        <w:pStyle w:val="2"/>
        <w:numPr>
          <w:ilvl w:val="0"/>
          <w:numId w:val="25"/>
        </w:numPr>
        <w:rPr>
          <w:sz w:val="18"/>
          <w:lang w:val="en-US"/>
        </w:rPr>
      </w:pPr>
      <w:r w:rsidRPr="00227C94">
        <w:rPr>
          <w:spacing w:val="-3"/>
          <w:sz w:val="18"/>
          <w:lang w:val="en-US"/>
        </w:rPr>
        <w:t xml:space="preserve">Other current assets consist of deferred expenditures, trade and other receivables, advances paid to suppliers </w:t>
      </w:r>
      <w:r w:rsidRPr="00227C94">
        <w:rPr>
          <w:sz w:val="18"/>
          <w:lang w:val="en-US"/>
        </w:rPr>
        <w:t>and prepaid expenses and taxes receivable.</w:t>
      </w:r>
    </w:p>
    <w:p w:rsidR="00916675" w:rsidRPr="00227C94" w:rsidRDefault="00916675" w:rsidP="00690257">
      <w:pPr>
        <w:pStyle w:val="23"/>
        <w:rPr>
          <w:color w:val="auto"/>
          <w:w w:val="0"/>
          <w:lang w:val="en-US"/>
        </w:rPr>
      </w:pPr>
    </w:p>
    <w:p w:rsidR="00916675" w:rsidRPr="00227C94" w:rsidRDefault="00690257" w:rsidP="00690257">
      <w:pPr>
        <w:pStyle w:val="31"/>
        <w:rPr>
          <w:i w:val="0"/>
          <w:w w:val="0"/>
          <w:lang w:val="en-US"/>
        </w:rPr>
      </w:pPr>
      <w:bookmarkStart w:id="302" w:name="_DV_M300"/>
      <w:bookmarkEnd w:id="302"/>
      <w:r w:rsidRPr="00227C94">
        <w:rPr>
          <w:w w:val="0"/>
          <w:lang w:val="en-US"/>
        </w:rPr>
        <w:br w:type="page"/>
      </w:r>
      <w:r w:rsidR="00916675" w:rsidRPr="00227C94">
        <w:rPr>
          <w:i w:val="0"/>
          <w:w w:val="0"/>
        </w:rPr>
        <w:lastRenderedPageBreak/>
        <w:t>4.1.1 Assets</w:t>
      </w:r>
    </w:p>
    <w:p w:rsidR="00690257" w:rsidRPr="00227C94" w:rsidRDefault="00690257" w:rsidP="00690257">
      <w:pPr>
        <w:pStyle w:val="23"/>
        <w:rPr>
          <w:color w:val="auto"/>
          <w:lang w:val="en-US"/>
        </w:rPr>
      </w:pPr>
    </w:p>
    <w:p w:rsidR="00916675" w:rsidRPr="00227C94" w:rsidRDefault="00916675" w:rsidP="00690257">
      <w:pPr>
        <w:pStyle w:val="31"/>
        <w:rPr>
          <w:w w:val="0"/>
          <w:lang w:val="en-US"/>
        </w:rPr>
      </w:pPr>
      <w:bookmarkStart w:id="303" w:name="_DV_M301"/>
      <w:bookmarkEnd w:id="303"/>
      <w:r w:rsidRPr="00227C94">
        <w:rPr>
          <w:w w:val="0"/>
        </w:rPr>
        <w:t>Non-current assets</w:t>
      </w:r>
    </w:p>
    <w:p w:rsidR="00690257" w:rsidRPr="00227C94" w:rsidRDefault="00690257" w:rsidP="00690257">
      <w:pPr>
        <w:pStyle w:val="23"/>
        <w:rPr>
          <w:color w:val="auto"/>
          <w:lang w:val="en-US"/>
        </w:rPr>
      </w:pPr>
    </w:p>
    <w:p w:rsidR="00916675" w:rsidRPr="00227C94" w:rsidRDefault="00916675" w:rsidP="00690257">
      <w:pPr>
        <w:pStyle w:val="31"/>
        <w:rPr>
          <w:b w:val="0"/>
          <w:w w:val="0"/>
        </w:rPr>
      </w:pPr>
      <w:bookmarkStart w:id="304" w:name="_DV_M302"/>
      <w:bookmarkEnd w:id="304"/>
      <w:r w:rsidRPr="00227C94">
        <w:rPr>
          <w:b w:val="0"/>
          <w:w w:val="0"/>
        </w:rPr>
        <w:t>Property, plant and equipment</w:t>
      </w:r>
    </w:p>
    <w:p w:rsidR="00690257" w:rsidRPr="00227C94" w:rsidRDefault="00690257" w:rsidP="00690257">
      <w:pPr>
        <w:pStyle w:val="23"/>
        <w:rPr>
          <w:color w:val="auto"/>
        </w:rPr>
      </w:pPr>
    </w:p>
    <w:p w:rsidR="00916675" w:rsidRPr="00227C94" w:rsidRDefault="00916675" w:rsidP="00690257">
      <w:pPr>
        <w:pStyle w:val="23"/>
        <w:rPr>
          <w:color w:val="auto"/>
          <w:w w:val="0"/>
          <w:lang w:val="en-US"/>
        </w:rPr>
      </w:pPr>
      <w:bookmarkStart w:id="305" w:name="_DV_M303"/>
      <w:bookmarkEnd w:id="305"/>
      <w:r w:rsidRPr="00227C94">
        <w:rPr>
          <w:color w:val="auto"/>
          <w:w w:val="0"/>
          <w:lang w:val="en-US"/>
        </w:rPr>
        <w:t>The table below sets forth the components of the Group’s property, plant and equipment at 30 June 2011 and 31 December 2011:</w:t>
      </w:r>
    </w:p>
    <w:p w:rsidR="00690257" w:rsidRPr="00227C94" w:rsidRDefault="00690257" w:rsidP="00690257">
      <w:pPr>
        <w:pStyle w:val="23"/>
        <w:rPr>
          <w:color w:val="auto"/>
          <w:w w:val="0"/>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690257" w:rsidRPr="00227C94" w:rsidTr="00A701F4">
        <w:trPr>
          <w:cantSplit/>
        </w:trPr>
        <w:tc>
          <w:tcPr>
            <w:tcW w:w="4118" w:type="dxa"/>
            <w:tcBorders>
              <w:top w:val="nil"/>
              <w:left w:val="nil"/>
              <w:bottom w:val="nil"/>
              <w:right w:val="nil"/>
            </w:tcBorders>
            <w:vAlign w:val="bottom"/>
          </w:tcPr>
          <w:p w:rsidR="00690257" w:rsidRPr="00227C94" w:rsidRDefault="00690257" w:rsidP="00690257">
            <w:pPr>
              <w:pStyle w:val="tblHeaderText"/>
              <w:jc w:val="left"/>
              <w:rPr>
                <w:w w:val="0"/>
              </w:rPr>
            </w:pPr>
            <w:r w:rsidRPr="00227C94">
              <w:rPr>
                <w:w w:val="0"/>
              </w:rPr>
              <w:t>USD‘000</w:t>
            </w:r>
          </w:p>
        </w:tc>
        <w:tc>
          <w:tcPr>
            <w:tcW w:w="1417" w:type="dxa"/>
            <w:tcBorders>
              <w:top w:val="nil"/>
              <w:left w:val="nil"/>
              <w:bottom w:val="single" w:sz="6" w:space="0" w:color="auto"/>
              <w:right w:val="nil"/>
            </w:tcBorders>
            <w:shd w:val="clear" w:color="auto" w:fill="auto"/>
            <w:vAlign w:val="bottom"/>
          </w:tcPr>
          <w:p w:rsidR="003443ED" w:rsidRPr="00227C94" w:rsidRDefault="00690257" w:rsidP="00B71A14">
            <w:pPr>
              <w:pStyle w:val="tblHeaderText"/>
              <w:rPr>
                <w:w w:val="0"/>
              </w:rPr>
            </w:pPr>
            <w:r w:rsidRPr="00227C94">
              <w:rPr>
                <w:w w:val="0"/>
              </w:rPr>
              <w:t>30 June</w:t>
            </w:r>
          </w:p>
          <w:p w:rsidR="00690257" w:rsidRPr="00227C94" w:rsidRDefault="00690257" w:rsidP="00B71A14">
            <w:pPr>
              <w:pStyle w:val="tblHeaderText"/>
              <w:rPr>
                <w:w w:val="0"/>
              </w:rPr>
            </w:pPr>
            <w:r w:rsidRPr="00227C94">
              <w:rPr>
                <w:w w:val="0"/>
              </w:rPr>
              <w:t>2012</w:t>
            </w:r>
          </w:p>
        </w:tc>
        <w:tc>
          <w:tcPr>
            <w:tcW w:w="283" w:type="dxa"/>
            <w:tcBorders>
              <w:top w:val="nil"/>
              <w:left w:val="nil"/>
              <w:bottom w:val="nil"/>
              <w:right w:val="nil"/>
            </w:tcBorders>
            <w:vAlign w:val="bottom"/>
          </w:tcPr>
          <w:p w:rsidR="00690257" w:rsidRPr="00227C94" w:rsidRDefault="00690257" w:rsidP="00690257">
            <w:pPr>
              <w:pStyle w:val="tblHeaderText"/>
              <w:rPr>
                <w:w w:val="0"/>
              </w:rPr>
            </w:pPr>
          </w:p>
        </w:tc>
        <w:tc>
          <w:tcPr>
            <w:tcW w:w="1417" w:type="dxa"/>
            <w:tcBorders>
              <w:top w:val="nil"/>
              <w:left w:val="nil"/>
              <w:bottom w:val="single" w:sz="6" w:space="0" w:color="auto"/>
              <w:right w:val="nil"/>
            </w:tcBorders>
            <w:shd w:val="clear" w:color="auto" w:fill="auto"/>
            <w:vAlign w:val="bottom"/>
          </w:tcPr>
          <w:p w:rsidR="00690257" w:rsidRPr="00227C94" w:rsidRDefault="00690257" w:rsidP="00B71A14">
            <w:pPr>
              <w:pStyle w:val="tblHeaderText"/>
              <w:rPr>
                <w:w w:val="0"/>
              </w:rPr>
            </w:pPr>
            <w:r w:rsidRPr="00227C94">
              <w:rPr>
                <w:w w:val="0"/>
              </w:rPr>
              <w:t>31 December 2011</w:t>
            </w:r>
          </w:p>
        </w:tc>
        <w:tc>
          <w:tcPr>
            <w:tcW w:w="283" w:type="dxa"/>
            <w:tcBorders>
              <w:top w:val="nil"/>
              <w:left w:val="nil"/>
              <w:bottom w:val="nil"/>
              <w:right w:val="nil"/>
            </w:tcBorders>
            <w:vAlign w:val="bottom"/>
          </w:tcPr>
          <w:p w:rsidR="00690257" w:rsidRPr="00227C94" w:rsidRDefault="00690257" w:rsidP="00690257">
            <w:pPr>
              <w:pStyle w:val="tblHeaderText"/>
              <w:rPr>
                <w:w w:val="0"/>
              </w:rPr>
            </w:pPr>
          </w:p>
        </w:tc>
        <w:tc>
          <w:tcPr>
            <w:tcW w:w="1417" w:type="dxa"/>
            <w:tcBorders>
              <w:top w:val="nil"/>
              <w:left w:val="nil"/>
              <w:bottom w:val="single" w:sz="6" w:space="0" w:color="auto"/>
              <w:right w:val="nil"/>
            </w:tcBorders>
            <w:shd w:val="clear" w:color="auto" w:fill="auto"/>
            <w:vAlign w:val="bottom"/>
          </w:tcPr>
          <w:p w:rsidR="003443ED" w:rsidRPr="00227C94" w:rsidRDefault="003443ED" w:rsidP="00690257">
            <w:pPr>
              <w:pStyle w:val="tblHeaderText"/>
              <w:rPr>
                <w:w w:val="0"/>
                <w:lang w:val="en-US"/>
              </w:rPr>
            </w:pPr>
            <w:r w:rsidRPr="00227C94">
              <w:rPr>
                <w:w w:val="0"/>
                <w:lang w:val="en-US"/>
              </w:rPr>
              <w:t>%</w:t>
            </w:r>
          </w:p>
          <w:p w:rsidR="00690257" w:rsidRPr="00227C94" w:rsidRDefault="00D526D9" w:rsidP="00690257">
            <w:pPr>
              <w:pStyle w:val="tblHeaderText"/>
              <w:rPr>
                <w:w w:val="0"/>
                <w:lang w:val="en-US"/>
              </w:rPr>
            </w:pPr>
            <w:r w:rsidRPr="00227C94">
              <w:rPr>
                <w:w w:val="0"/>
                <w:lang w:val="en-GB"/>
              </w:rPr>
              <w:t>c</w:t>
            </w:r>
            <w:r w:rsidR="00690257" w:rsidRPr="00227C94">
              <w:rPr>
                <w:w w:val="0"/>
              </w:rPr>
              <w:t>hange</w:t>
            </w:r>
          </w:p>
        </w:tc>
      </w:tr>
      <w:tr w:rsidR="00690257" w:rsidRPr="00227C94" w:rsidTr="00A701F4">
        <w:trPr>
          <w:cantSplit/>
        </w:trPr>
        <w:tc>
          <w:tcPr>
            <w:tcW w:w="4118" w:type="dxa"/>
            <w:tcBorders>
              <w:top w:val="nil"/>
              <w:left w:val="nil"/>
              <w:bottom w:val="nil"/>
              <w:right w:val="nil"/>
            </w:tcBorders>
          </w:tcPr>
          <w:p w:rsidR="00690257" w:rsidRPr="00227C94" w:rsidRDefault="00690257" w:rsidP="00690257">
            <w:pPr>
              <w:pStyle w:val="tblHeaderText"/>
              <w:jc w:val="left"/>
              <w:rPr>
                <w:w w:val="0"/>
              </w:rPr>
            </w:pPr>
          </w:p>
        </w:tc>
        <w:tc>
          <w:tcPr>
            <w:tcW w:w="1417" w:type="dxa"/>
            <w:tcBorders>
              <w:top w:val="single" w:sz="6" w:space="0" w:color="auto"/>
              <w:left w:val="nil"/>
              <w:bottom w:val="nil"/>
              <w:right w:val="nil"/>
            </w:tcBorders>
            <w:shd w:val="clear" w:color="auto" w:fill="auto"/>
          </w:tcPr>
          <w:p w:rsidR="00690257" w:rsidRPr="00227C94" w:rsidRDefault="00690257" w:rsidP="00690257">
            <w:pPr>
              <w:pStyle w:val="tblHeaderText"/>
              <w:rPr>
                <w:w w:val="0"/>
              </w:rPr>
            </w:pPr>
          </w:p>
        </w:tc>
        <w:tc>
          <w:tcPr>
            <w:tcW w:w="283" w:type="dxa"/>
            <w:tcBorders>
              <w:top w:val="nil"/>
              <w:left w:val="nil"/>
              <w:bottom w:val="nil"/>
              <w:right w:val="nil"/>
            </w:tcBorders>
          </w:tcPr>
          <w:p w:rsidR="00690257" w:rsidRPr="00227C94" w:rsidRDefault="00690257" w:rsidP="00690257">
            <w:pPr>
              <w:pStyle w:val="tblHeaderText"/>
              <w:rPr>
                <w:w w:val="0"/>
              </w:rPr>
            </w:pPr>
          </w:p>
        </w:tc>
        <w:tc>
          <w:tcPr>
            <w:tcW w:w="1417" w:type="dxa"/>
            <w:tcBorders>
              <w:top w:val="single" w:sz="6" w:space="0" w:color="auto"/>
              <w:left w:val="nil"/>
              <w:bottom w:val="nil"/>
              <w:right w:val="nil"/>
            </w:tcBorders>
            <w:shd w:val="clear" w:color="auto" w:fill="auto"/>
          </w:tcPr>
          <w:p w:rsidR="00690257" w:rsidRPr="00227C94" w:rsidRDefault="00690257" w:rsidP="00690257">
            <w:pPr>
              <w:pStyle w:val="tblHeaderText"/>
              <w:rPr>
                <w:w w:val="0"/>
              </w:rPr>
            </w:pPr>
          </w:p>
        </w:tc>
        <w:tc>
          <w:tcPr>
            <w:tcW w:w="283" w:type="dxa"/>
            <w:tcBorders>
              <w:top w:val="nil"/>
              <w:left w:val="nil"/>
              <w:bottom w:val="nil"/>
              <w:right w:val="nil"/>
            </w:tcBorders>
          </w:tcPr>
          <w:p w:rsidR="00690257" w:rsidRPr="00227C94" w:rsidRDefault="00690257" w:rsidP="00690257">
            <w:pPr>
              <w:pStyle w:val="tblHeaderText"/>
              <w:rPr>
                <w:w w:val="0"/>
              </w:rPr>
            </w:pPr>
          </w:p>
        </w:tc>
        <w:tc>
          <w:tcPr>
            <w:tcW w:w="1417" w:type="dxa"/>
            <w:tcBorders>
              <w:top w:val="single" w:sz="6" w:space="0" w:color="auto"/>
              <w:left w:val="nil"/>
              <w:bottom w:val="nil"/>
              <w:right w:val="nil"/>
            </w:tcBorders>
            <w:shd w:val="clear" w:color="auto" w:fill="auto"/>
          </w:tcPr>
          <w:p w:rsidR="00690257" w:rsidRPr="00227C94" w:rsidRDefault="00690257" w:rsidP="00690257">
            <w:pPr>
              <w:pStyle w:val="tblHeaderText"/>
              <w:rPr>
                <w:w w:val="0"/>
              </w:rPr>
            </w:pPr>
          </w:p>
        </w:tc>
      </w:tr>
      <w:tr w:rsidR="00690257" w:rsidRPr="00227C94" w:rsidTr="00690257">
        <w:trPr>
          <w:cantSplit/>
        </w:trPr>
        <w:tc>
          <w:tcPr>
            <w:tcW w:w="4118" w:type="dxa"/>
            <w:tcBorders>
              <w:top w:val="nil"/>
              <w:left w:val="nil"/>
              <w:bottom w:val="nil"/>
              <w:right w:val="nil"/>
            </w:tcBorders>
          </w:tcPr>
          <w:p w:rsidR="00690257" w:rsidRPr="00227C94" w:rsidRDefault="00690257" w:rsidP="00690257">
            <w:pPr>
              <w:pStyle w:val="tblText02"/>
              <w:rPr>
                <w:w w:val="0"/>
              </w:rPr>
            </w:pPr>
            <w:r w:rsidRPr="00227C94">
              <w:rPr>
                <w:w w:val="0"/>
              </w:rPr>
              <w:t>Mining assets</w:t>
            </w:r>
          </w:p>
        </w:tc>
        <w:tc>
          <w:tcPr>
            <w:tcW w:w="1417" w:type="dxa"/>
            <w:tcBorders>
              <w:top w:val="nil"/>
              <w:left w:val="nil"/>
              <w:bottom w:val="nil"/>
              <w:right w:val="nil"/>
            </w:tcBorders>
            <w:vAlign w:val="bottom"/>
          </w:tcPr>
          <w:p w:rsidR="00690257" w:rsidRPr="00227C94" w:rsidRDefault="00690257" w:rsidP="00690257">
            <w:pPr>
              <w:pStyle w:val="tblNumber01"/>
            </w:pPr>
            <w:r w:rsidRPr="00227C94">
              <w:t>1,612,742</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vAlign w:val="bottom"/>
          </w:tcPr>
          <w:p w:rsidR="00690257" w:rsidRPr="00227C94" w:rsidRDefault="00690257" w:rsidP="00690257">
            <w:pPr>
              <w:pStyle w:val="tblNumber01"/>
            </w:pPr>
            <w:r w:rsidRPr="00227C94">
              <w:t>1,651,929</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nil"/>
              <w:right w:val="nil"/>
            </w:tcBorders>
            <w:vAlign w:val="bottom"/>
          </w:tcPr>
          <w:p w:rsidR="00690257" w:rsidRPr="00227C94" w:rsidRDefault="00690257" w:rsidP="00690257">
            <w:pPr>
              <w:pStyle w:val="tblNumber00"/>
            </w:pPr>
            <w:r w:rsidRPr="00227C94">
              <w:t>(2)</w:t>
            </w:r>
          </w:p>
        </w:tc>
      </w:tr>
      <w:tr w:rsidR="00690257" w:rsidRPr="00227C94" w:rsidTr="00A701F4">
        <w:trPr>
          <w:cantSplit/>
        </w:trPr>
        <w:tc>
          <w:tcPr>
            <w:tcW w:w="4118" w:type="dxa"/>
            <w:tcBorders>
              <w:top w:val="nil"/>
              <w:left w:val="nil"/>
              <w:bottom w:val="nil"/>
              <w:right w:val="nil"/>
            </w:tcBorders>
          </w:tcPr>
          <w:p w:rsidR="00690257" w:rsidRPr="00227C94" w:rsidRDefault="00690257" w:rsidP="00690257">
            <w:pPr>
              <w:pStyle w:val="tblText02"/>
              <w:rPr>
                <w:w w:val="0"/>
              </w:rPr>
            </w:pPr>
            <w:r w:rsidRPr="00227C94">
              <w:rPr>
                <w:w w:val="0"/>
              </w:rPr>
              <w:t>Non-mining assets</w:t>
            </w:r>
          </w:p>
        </w:tc>
        <w:tc>
          <w:tcPr>
            <w:tcW w:w="1417" w:type="dxa"/>
            <w:tcBorders>
              <w:top w:val="nil"/>
              <w:left w:val="nil"/>
              <w:right w:val="nil"/>
            </w:tcBorders>
            <w:vAlign w:val="bottom"/>
          </w:tcPr>
          <w:p w:rsidR="00690257" w:rsidRPr="00227C94" w:rsidRDefault="00690257" w:rsidP="00690257">
            <w:pPr>
              <w:pStyle w:val="tblNumber01"/>
            </w:pPr>
            <w:r w:rsidRPr="00227C94">
              <w:t>47,685</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right w:val="nil"/>
            </w:tcBorders>
            <w:vAlign w:val="bottom"/>
          </w:tcPr>
          <w:p w:rsidR="00690257" w:rsidRPr="00227C94" w:rsidRDefault="00690257" w:rsidP="00690257">
            <w:pPr>
              <w:pStyle w:val="tblNumber01"/>
            </w:pPr>
            <w:r w:rsidRPr="00227C94">
              <w:t>32,820</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right w:val="nil"/>
            </w:tcBorders>
            <w:vAlign w:val="bottom"/>
          </w:tcPr>
          <w:p w:rsidR="00690257" w:rsidRPr="00227C94" w:rsidRDefault="00690257" w:rsidP="00690257">
            <w:pPr>
              <w:pStyle w:val="tblNumber01"/>
            </w:pPr>
            <w:r w:rsidRPr="00227C94">
              <w:t>45</w:t>
            </w:r>
          </w:p>
        </w:tc>
      </w:tr>
      <w:tr w:rsidR="00690257" w:rsidRPr="00227C94" w:rsidTr="00A701F4">
        <w:trPr>
          <w:cantSplit/>
        </w:trPr>
        <w:tc>
          <w:tcPr>
            <w:tcW w:w="4118" w:type="dxa"/>
            <w:tcBorders>
              <w:top w:val="nil"/>
              <w:left w:val="nil"/>
              <w:bottom w:val="nil"/>
              <w:right w:val="nil"/>
            </w:tcBorders>
          </w:tcPr>
          <w:p w:rsidR="00690257" w:rsidRPr="00227C94" w:rsidRDefault="00690257" w:rsidP="00690257">
            <w:pPr>
              <w:pStyle w:val="tblText02"/>
              <w:rPr>
                <w:w w:val="0"/>
              </w:rPr>
            </w:pPr>
            <w:r w:rsidRPr="00227C94">
              <w:rPr>
                <w:w w:val="0"/>
              </w:rPr>
              <w:t>Capital construction-in-progress</w:t>
            </w: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01"/>
            </w:pPr>
            <w:r w:rsidRPr="00227C94">
              <w:t>516,775</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01"/>
            </w:pPr>
            <w:r w:rsidRPr="00227C94">
              <w:t>371,668</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single" w:sz="6" w:space="0" w:color="auto"/>
              <w:right w:val="nil"/>
            </w:tcBorders>
            <w:shd w:val="clear" w:color="auto" w:fill="auto"/>
            <w:vAlign w:val="bottom"/>
          </w:tcPr>
          <w:p w:rsidR="00690257" w:rsidRPr="00227C94" w:rsidRDefault="00690257" w:rsidP="00690257">
            <w:pPr>
              <w:pStyle w:val="tblNumber01"/>
            </w:pPr>
            <w:r w:rsidRPr="00227C94">
              <w:t>39</w:t>
            </w:r>
          </w:p>
        </w:tc>
      </w:tr>
      <w:tr w:rsidR="00690257" w:rsidRPr="00227C94" w:rsidTr="00A701F4">
        <w:trPr>
          <w:cantSplit/>
        </w:trPr>
        <w:tc>
          <w:tcPr>
            <w:tcW w:w="4118" w:type="dxa"/>
            <w:tcBorders>
              <w:top w:val="nil"/>
              <w:left w:val="nil"/>
              <w:bottom w:val="nil"/>
              <w:right w:val="nil"/>
            </w:tcBorders>
          </w:tcPr>
          <w:p w:rsidR="00690257" w:rsidRPr="00227C94" w:rsidRDefault="00690257" w:rsidP="00690257">
            <w:pPr>
              <w:pStyle w:val="tblText02"/>
              <w:rPr>
                <w:w w:val="0"/>
              </w:rPr>
            </w:pPr>
          </w:p>
        </w:tc>
        <w:tc>
          <w:tcPr>
            <w:tcW w:w="1417" w:type="dxa"/>
            <w:tcBorders>
              <w:top w:val="single" w:sz="6" w:space="0" w:color="auto"/>
              <w:left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right w:val="nil"/>
            </w:tcBorders>
            <w:shd w:val="clear" w:color="auto" w:fill="auto"/>
            <w:vAlign w:val="bottom"/>
          </w:tcPr>
          <w:p w:rsidR="00690257" w:rsidRPr="00227C94" w:rsidRDefault="00690257" w:rsidP="00690257">
            <w:pPr>
              <w:pStyle w:val="tblNumber01"/>
            </w:pP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single" w:sz="6" w:space="0" w:color="auto"/>
              <w:left w:val="nil"/>
              <w:right w:val="nil"/>
            </w:tcBorders>
            <w:shd w:val="clear" w:color="auto" w:fill="auto"/>
            <w:vAlign w:val="bottom"/>
          </w:tcPr>
          <w:p w:rsidR="00690257" w:rsidRPr="00227C94" w:rsidRDefault="00690257" w:rsidP="00690257">
            <w:pPr>
              <w:pStyle w:val="tblNumber01"/>
            </w:pPr>
          </w:p>
        </w:tc>
      </w:tr>
      <w:tr w:rsidR="00690257" w:rsidRPr="00227C94" w:rsidTr="00690257">
        <w:trPr>
          <w:cantSplit/>
        </w:trPr>
        <w:tc>
          <w:tcPr>
            <w:tcW w:w="4118" w:type="dxa"/>
            <w:tcBorders>
              <w:top w:val="nil"/>
              <w:left w:val="nil"/>
              <w:bottom w:val="nil"/>
              <w:right w:val="nil"/>
            </w:tcBorders>
          </w:tcPr>
          <w:p w:rsidR="00690257" w:rsidRPr="00227C94" w:rsidRDefault="00690257" w:rsidP="00690257">
            <w:pPr>
              <w:pStyle w:val="tblText02"/>
              <w:rPr>
                <w:b/>
                <w:w w:val="0"/>
                <w:lang w:val="en-US"/>
              </w:rPr>
            </w:pPr>
            <w:r w:rsidRPr="00227C94">
              <w:rPr>
                <w:b/>
                <w:w w:val="0"/>
                <w:lang w:val="en-US"/>
              </w:rPr>
              <w:t>Total property, plant and equipment</w:t>
            </w:r>
          </w:p>
        </w:tc>
        <w:tc>
          <w:tcPr>
            <w:tcW w:w="1417" w:type="dxa"/>
            <w:tcBorders>
              <w:top w:val="nil"/>
              <w:left w:val="nil"/>
              <w:bottom w:val="double" w:sz="6" w:space="0" w:color="auto"/>
              <w:right w:val="nil"/>
            </w:tcBorders>
            <w:shd w:val="clear" w:color="auto" w:fill="auto"/>
            <w:vAlign w:val="bottom"/>
          </w:tcPr>
          <w:p w:rsidR="00690257" w:rsidRPr="00227C94" w:rsidRDefault="00690257" w:rsidP="00690257">
            <w:pPr>
              <w:pStyle w:val="tblNumber01"/>
              <w:rPr>
                <w:b/>
              </w:rPr>
            </w:pPr>
            <w:r w:rsidRPr="00227C94">
              <w:rPr>
                <w:b/>
              </w:rPr>
              <w:t>2,177,202</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double" w:sz="6" w:space="0" w:color="auto"/>
              <w:right w:val="nil"/>
            </w:tcBorders>
            <w:shd w:val="clear" w:color="auto" w:fill="auto"/>
            <w:vAlign w:val="bottom"/>
          </w:tcPr>
          <w:p w:rsidR="00690257" w:rsidRPr="00227C94" w:rsidRDefault="00690257" w:rsidP="00690257">
            <w:pPr>
              <w:pStyle w:val="tblNumber01"/>
              <w:rPr>
                <w:b/>
              </w:rPr>
            </w:pPr>
            <w:r w:rsidRPr="00227C94">
              <w:rPr>
                <w:b/>
              </w:rPr>
              <w:t>2,056,417</w:t>
            </w:r>
          </w:p>
        </w:tc>
        <w:tc>
          <w:tcPr>
            <w:tcW w:w="283" w:type="dxa"/>
            <w:tcBorders>
              <w:top w:val="nil"/>
              <w:left w:val="nil"/>
              <w:bottom w:val="nil"/>
              <w:right w:val="nil"/>
            </w:tcBorders>
            <w:vAlign w:val="bottom"/>
          </w:tcPr>
          <w:p w:rsidR="00690257" w:rsidRPr="00227C94" w:rsidRDefault="00690257" w:rsidP="00690257">
            <w:pPr>
              <w:pStyle w:val="tblNumber01"/>
            </w:pPr>
          </w:p>
        </w:tc>
        <w:tc>
          <w:tcPr>
            <w:tcW w:w="1417" w:type="dxa"/>
            <w:tcBorders>
              <w:top w:val="nil"/>
              <w:left w:val="nil"/>
              <w:bottom w:val="double" w:sz="6" w:space="0" w:color="auto"/>
              <w:right w:val="nil"/>
            </w:tcBorders>
            <w:shd w:val="clear" w:color="auto" w:fill="auto"/>
            <w:vAlign w:val="bottom"/>
          </w:tcPr>
          <w:p w:rsidR="00690257" w:rsidRPr="00227C94" w:rsidRDefault="00690257" w:rsidP="00690257">
            <w:pPr>
              <w:pStyle w:val="tblNumber01"/>
              <w:rPr>
                <w:b/>
              </w:rPr>
            </w:pPr>
            <w:r w:rsidRPr="00227C94">
              <w:rPr>
                <w:b/>
              </w:rPr>
              <w:t>6</w:t>
            </w:r>
          </w:p>
        </w:tc>
      </w:tr>
    </w:tbl>
    <w:p w:rsidR="00916675" w:rsidRPr="00227C94" w:rsidRDefault="00916675" w:rsidP="00690257">
      <w:pPr>
        <w:pStyle w:val="23"/>
        <w:rPr>
          <w:color w:val="auto"/>
          <w:w w:val="0"/>
        </w:rPr>
      </w:pPr>
    </w:p>
    <w:p w:rsidR="00690257" w:rsidRPr="00227C94" w:rsidRDefault="00690257" w:rsidP="00690257">
      <w:pPr>
        <w:pStyle w:val="23"/>
        <w:rPr>
          <w:color w:val="auto"/>
          <w:w w:val="0"/>
        </w:rPr>
      </w:pPr>
    </w:p>
    <w:p w:rsidR="00916675" w:rsidRPr="00227C94" w:rsidRDefault="00916675" w:rsidP="00690257">
      <w:pPr>
        <w:pStyle w:val="23"/>
        <w:rPr>
          <w:color w:val="auto"/>
          <w:w w:val="0"/>
          <w:lang w:val="en-US"/>
        </w:rPr>
      </w:pPr>
      <w:bookmarkStart w:id="306" w:name="_DV_M304"/>
      <w:bookmarkEnd w:id="306"/>
      <w:r w:rsidRPr="00227C94">
        <w:rPr>
          <w:color w:val="auto"/>
          <w:w w:val="0"/>
          <w:lang w:val="en-US"/>
        </w:rPr>
        <w:t>As at 30 June 2012 the value of property, plant and equipment totalled USD2</w:t>
      </w:r>
      <w:proofErr w:type="gramStart"/>
      <w:r w:rsidRPr="00227C94">
        <w:rPr>
          <w:color w:val="auto"/>
          <w:w w:val="0"/>
          <w:lang w:val="en-US"/>
        </w:rPr>
        <w:t>,177,202</w:t>
      </w:r>
      <w:proofErr w:type="gramEnd"/>
      <w:r w:rsidRPr="00227C94">
        <w:rPr>
          <w:color w:val="auto"/>
          <w:w w:val="0"/>
          <w:lang w:val="en-US"/>
        </w:rPr>
        <w:t xml:space="preserve"> thousand, compared to USD2,056,417 thousand at 31 December 2011. The 6% increase primarily was due to the increase in capital construction-in-progress.</w:t>
      </w:r>
    </w:p>
    <w:p w:rsidR="00690257" w:rsidRPr="00227C94" w:rsidRDefault="00690257" w:rsidP="00690257">
      <w:pPr>
        <w:pStyle w:val="23"/>
        <w:rPr>
          <w:color w:val="auto"/>
          <w:w w:val="0"/>
          <w:lang w:val="en-US"/>
        </w:rPr>
      </w:pPr>
    </w:p>
    <w:p w:rsidR="00916675" w:rsidRPr="00227C94" w:rsidRDefault="00916675" w:rsidP="00690257">
      <w:pPr>
        <w:pStyle w:val="23"/>
        <w:rPr>
          <w:color w:val="auto"/>
          <w:lang w:val="en-US"/>
        </w:rPr>
      </w:pPr>
      <w:r w:rsidRPr="00227C94">
        <w:rPr>
          <w:color w:val="auto"/>
          <w:lang w:val="en-US"/>
        </w:rPr>
        <w:t>The value of mining assets decreased in spite of assembling and commissioning of some new equipment at the Verninskoye mine. It was fully offset by USD17</w:t>
      </w:r>
      <w:proofErr w:type="gramStart"/>
      <w:r w:rsidRPr="00227C94">
        <w:rPr>
          <w:color w:val="auto"/>
          <w:lang w:val="en-US"/>
        </w:rPr>
        <w:t>,316</w:t>
      </w:r>
      <w:proofErr w:type="gramEnd"/>
      <w:r w:rsidRPr="00227C94">
        <w:rPr>
          <w:color w:val="auto"/>
          <w:lang w:val="en-US"/>
        </w:rPr>
        <w:t xml:space="preserve"> thousand impairment loss of property, plant at the Omchak exploration field and at the Kazakhstan business unit, disposal of Romanian assets, and the rouble depreciation.</w:t>
      </w:r>
    </w:p>
    <w:p w:rsidR="00690257" w:rsidRPr="00227C94" w:rsidRDefault="00690257" w:rsidP="00690257">
      <w:pPr>
        <w:pStyle w:val="23"/>
        <w:rPr>
          <w:color w:val="auto"/>
          <w:w w:val="0"/>
          <w:highlight w:val="yellow"/>
          <w:lang w:val="en-US"/>
        </w:rPr>
      </w:pPr>
    </w:p>
    <w:p w:rsidR="00916675" w:rsidRPr="00227C94" w:rsidRDefault="00916675" w:rsidP="00690257">
      <w:pPr>
        <w:pStyle w:val="23"/>
        <w:rPr>
          <w:color w:val="auto"/>
          <w:spacing w:val="-2"/>
          <w:w w:val="0"/>
          <w:lang w:val="en-US"/>
        </w:rPr>
      </w:pPr>
      <w:r w:rsidRPr="00227C94">
        <w:rPr>
          <w:color w:val="auto"/>
          <w:spacing w:val="-2"/>
          <w:w w:val="0"/>
          <w:lang w:val="en-US"/>
        </w:rPr>
        <w:t xml:space="preserve">The value of capital construction-in-progress on the contrary increased 39% p-o-p, and mostly related </w:t>
      </w:r>
      <w:r w:rsidRPr="00227C94">
        <w:rPr>
          <w:color w:val="auto"/>
          <w:w w:val="0"/>
          <w:lang w:val="en-US"/>
        </w:rPr>
        <w:t xml:space="preserve">to the development of the Natalka mine and Verninskoye mine. The Natalka mine: in H1 2012 </w:t>
      </w:r>
      <w:r w:rsidRPr="00227C94">
        <w:rPr>
          <w:color w:val="auto"/>
          <w:lang w:val="en-US"/>
        </w:rPr>
        <w:t xml:space="preserve">the following equipment has been delivered on site and recorded as capital construction: </w:t>
      </w:r>
      <w:r w:rsidR="003443ED" w:rsidRPr="00227C94">
        <w:rPr>
          <w:color w:val="auto"/>
          <w:lang w:val="en-US"/>
        </w:rPr>
        <w:t>eight</w:t>
      </w:r>
      <w:r w:rsidRPr="00227C94">
        <w:rPr>
          <w:color w:val="auto"/>
          <w:lang w:val="en-US"/>
        </w:rPr>
        <w:t xml:space="preserve"> trucks, </w:t>
      </w:r>
      <w:r w:rsidR="00864259" w:rsidRPr="00227C94">
        <w:rPr>
          <w:color w:val="auto"/>
          <w:lang w:val="en-US"/>
        </w:rPr>
        <w:t>three</w:t>
      </w:r>
      <w:r w:rsidRPr="00227C94">
        <w:rPr>
          <w:color w:val="auto"/>
          <w:lang w:val="en-US"/>
        </w:rPr>
        <w:t xml:space="preserve"> bulldozers, </w:t>
      </w:r>
      <w:r w:rsidR="00864259" w:rsidRPr="00227C94">
        <w:rPr>
          <w:color w:val="auto"/>
          <w:lang w:val="en-US"/>
        </w:rPr>
        <w:t>two</w:t>
      </w:r>
      <w:r w:rsidRPr="00227C94">
        <w:rPr>
          <w:color w:val="auto"/>
          <w:lang w:val="en-US"/>
        </w:rPr>
        <w:t xml:space="preserve"> excavators and </w:t>
      </w:r>
      <w:r w:rsidR="00864259" w:rsidRPr="00227C94">
        <w:rPr>
          <w:color w:val="auto"/>
          <w:lang w:val="en-US"/>
        </w:rPr>
        <w:t>three</w:t>
      </w:r>
      <w:r w:rsidRPr="00227C94">
        <w:rPr>
          <w:color w:val="auto"/>
          <w:lang w:val="en-US"/>
        </w:rPr>
        <w:t xml:space="preserve"> cars, construction of camp and some other facilities continued. The Verninskoye mine: In H1 2012 the Group installed the following flotation and hydrometallurgical equipment on the plant: hydro cyclones, thickeners, centrifugal concentrators, cyanidation reactors, carbon in leach and elution units, various pumps and ancillary equipment. </w:t>
      </w:r>
      <w:proofErr w:type="gramStart"/>
      <w:r w:rsidRPr="00227C94">
        <w:rPr>
          <w:color w:val="auto"/>
          <w:lang w:val="en-US"/>
        </w:rPr>
        <w:t>All  equipment</w:t>
      </w:r>
      <w:proofErr w:type="gramEnd"/>
      <w:r w:rsidRPr="00227C94">
        <w:rPr>
          <w:color w:val="auto"/>
          <w:lang w:val="en-US"/>
        </w:rPr>
        <w:t xml:space="preserve"> was recorded as capital construction ore mining assets. </w:t>
      </w:r>
      <w:r w:rsidRPr="00227C94">
        <w:rPr>
          <w:color w:val="auto"/>
          <w:w w:val="0"/>
          <w:lang w:val="en-US"/>
        </w:rPr>
        <w:t xml:space="preserve">In addition, the average number of personnel at </w:t>
      </w:r>
      <w:r w:rsidRPr="00227C94">
        <w:rPr>
          <w:color w:val="auto"/>
          <w:spacing w:val="-2"/>
          <w:w w:val="0"/>
          <w:lang w:val="en-US"/>
        </w:rPr>
        <w:t>LLC Polyus Stroy, for which salary costs are capitalised as capital construction-in-progress, increased, mainly as a result of continuing development of the Natalka mine.</w:t>
      </w:r>
    </w:p>
    <w:p w:rsidR="00690257" w:rsidRPr="00227C94" w:rsidRDefault="00690257" w:rsidP="00690257">
      <w:pPr>
        <w:pStyle w:val="23"/>
        <w:rPr>
          <w:color w:val="auto"/>
          <w:w w:val="0"/>
          <w:lang w:val="en-US"/>
        </w:rPr>
      </w:pPr>
    </w:p>
    <w:p w:rsidR="00916675" w:rsidRPr="00227C94" w:rsidRDefault="00916675" w:rsidP="00690257">
      <w:pPr>
        <w:pStyle w:val="31"/>
        <w:rPr>
          <w:b w:val="0"/>
          <w:w w:val="0"/>
        </w:rPr>
      </w:pPr>
      <w:bookmarkStart w:id="307" w:name="_DV_M305"/>
      <w:bookmarkEnd w:id="307"/>
      <w:r w:rsidRPr="00227C94">
        <w:rPr>
          <w:b w:val="0"/>
          <w:w w:val="0"/>
        </w:rPr>
        <w:t>Exploration and evaluation assets</w:t>
      </w:r>
    </w:p>
    <w:p w:rsidR="00690257" w:rsidRPr="00227C94" w:rsidRDefault="00690257" w:rsidP="00690257">
      <w:pPr>
        <w:pStyle w:val="23"/>
        <w:rPr>
          <w:color w:val="auto"/>
        </w:rPr>
      </w:pPr>
    </w:p>
    <w:p w:rsidR="00916675" w:rsidRPr="00227C94" w:rsidRDefault="00916675" w:rsidP="00690257">
      <w:pPr>
        <w:pStyle w:val="23"/>
        <w:rPr>
          <w:color w:val="auto"/>
          <w:lang w:val="en-US"/>
        </w:rPr>
      </w:pPr>
      <w:r w:rsidRPr="00227C94">
        <w:rPr>
          <w:color w:val="auto"/>
          <w:w w:val="0"/>
          <w:lang w:val="en-US"/>
        </w:rPr>
        <w:t xml:space="preserve">As at the end of June 2012 the value of exploration and evaluation assets increased by 3% to </w:t>
      </w:r>
      <w:r w:rsidRPr="00227C94">
        <w:rPr>
          <w:color w:val="auto"/>
          <w:spacing w:val="-2"/>
          <w:w w:val="0"/>
          <w:lang w:val="en-US"/>
        </w:rPr>
        <w:t>USD412</w:t>
      </w:r>
      <w:proofErr w:type="gramStart"/>
      <w:r w:rsidRPr="00227C94">
        <w:rPr>
          <w:color w:val="auto"/>
          <w:spacing w:val="-2"/>
          <w:w w:val="0"/>
          <w:lang w:val="en-US"/>
        </w:rPr>
        <w:t>,322</w:t>
      </w:r>
      <w:proofErr w:type="gramEnd"/>
      <w:r w:rsidRPr="00227C94">
        <w:rPr>
          <w:color w:val="auto"/>
          <w:spacing w:val="-2"/>
          <w:w w:val="0"/>
          <w:lang w:val="en-US"/>
        </w:rPr>
        <w:t xml:space="preserve"> thousand (the Nezhdaninskoye deposit represented 53% of all Exploration and evaluation assets). This was a result of capitalisation of exploration expenses incurred at all business units of the Group (the major contributors were: the Nezhdaninskoye deposit an addition of USD4</w:t>
      </w:r>
      <w:proofErr w:type="gramStart"/>
      <w:r w:rsidRPr="00227C94">
        <w:rPr>
          <w:color w:val="auto"/>
          <w:spacing w:val="-2"/>
          <w:w w:val="0"/>
          <w:lang w:val="en-US"/>
        </w:rPr>
        <w:t>,847</w:t>
      </w:r>
      <w:proofErr w:type="gramEnd"/>
      <w:r w:rsidRPr="00227C94">
        <w:rPr>
          <w:color w:val="auto"/>
          <w:spacing w:val="-2"/>
          <w:w w:val="0"/>
          <w:lang w:val="en-US"/>
        </w:rPr>
        <w:t xml:space="preserve"> thousand in  H1 2012 and the Medvezhy-Zapadnyi deposit – an addition of USD3,621 thousand in  H1 2012), </w:t>
      </w:r>
      <w:r w:rsidRPr="00227C94">
        <w:rPr>
          <w:color w:val="auto"/>
          <w:w w:val="0"/>
          <w:lang w:val="en-US"/>
        </w:rPr>
        <w:t xml:space="preserve">as well as reclassification of the Smezhnyi deposit into exploration assets from mining assets </w:t>
      </w:r>
      <w:r w:rsidR="00690257" w:rsidRPr="00227C94">
        <w:rPr>
          <w:color w:val="auto"/>
          <w:w w:val="0"/>
          <w:lang w:val="en-US"/>
        </w:rPr>
        <w:br/>
      </w:r>
      <w:r w:rsidRPr="00227C94">
        <w:rPr>
          <w:color w:val="auto"/>
          <w:spacing w:val="-2"/>
          <w:w w:val="0"/>
          <w:lang w:val="en-US"/>
        </w:rPr>
        <w:t>(an addition of USD5,337 thousand). The increase has been offset by disposal of</w:t>
      </w:r>
      <w:r w:rsidRPr="00227C94">
        <w:rPr>
          <w:color w:val="auto"/>
          <w:spacing w:val="-2"/>
          <w:lang w:val="en-US"/>
        </w:rPr>
        <w:t xml:space="preserve"> exploration expenses </w:t>
      </w:r>
      <w:r w:rsidR="003B340C">
        <w:rPr>
          <w:color w:val="auto"/>
          <w:lang w:val="en-US"/>
        </w:rPr>
        <w:t xml:space="preserve">on development works in </w:t>
      </w:r>
      <w:r w:rsidRPr="00227C94">
        <w:rPr>
          <w:color w:val="auto"/>
          <w:lang w:val="en-US"/>
        </w:rPr>
        <w:t xml:space="preserve">GRK Bargold </w:t>
      </w:r>
      <w:r w:rsidR="003B340C">
        <w:rPr>
          <w:color w:val="auto"/>
          <w:lang w:val="en-US"/>
        </w:rPr>
        <w:t xml:space="preserve">Ltd and </w:t>
      </w:r>
      <w:r w:rsidRPr="00227C94">
        <w:rPr>
          <w:color w:val="auto"/>
          <w:lang w:val="en-US"/>
        </w:rPr>
        <w:t xml:space="preserve">Yakutskoe GRP </w:t>
      </w:r>
      <w:r w:rsidR="003B340C">
        <w:rPr>
          <w:color w:val="auto"/>
          <w:lang w:val="en-US"/>
        </w:rPr>
        <w:t xml:space="preserve">Ltd </w:t>
      </w:r>
      <w:r w:rsidRPr="00227C94">
        <w:rPr>
          <w:color w:val="auto"/>
          <w:lang w:val="en-US"/>
        </w:rPr>
        <w:t>(the Exploration business unit), as well as due to the effect of translation to US dollars.</w:t>
      </w:r>
    </w:p>
    <w:p w:rsidR="00690257" w:rsidRPr="00227C94" w:rsidRDefault="00690257" w:rsidP="00690257">
      <w:pPr>
        <w:pStyle w:val="23"/>
        <w:rPr>
          <w:i/>
          <w:color w:val="auto"/>
          <w:w w:val="0"/>
          <w:lang w:val="en-US"/>
        </w:rPr>
      </w:pPr>
    </w:p>
    <w:p w:rsidR="00916675" w:rsidRPr="00227C94" w:rsidRDefault="00916675" w:rsidP="00690257">
      <w:pPr>
        <w:pStyle w:val="31"/>
        <w:rPr>
          <w:b w:val="0"/>
          <w:w w:val="0"/>
        </w:rPr>
      </w:pPr>
      <w:r w:rsidRPr="00227C94">
        <w:rPr>
          <w:b w:val="0"/>
          <w:w w:val="0"/>
        </w:rPr>
        <w:t>Deferred stripping costs</w:t>
      </w:r>
    </w:p>
    <w:p w:rsidR="00690257" w:rsidRPr="00227C94" w:rsidRDefault="00690257" w:rsidP="00690257">
      <w:pPr>
        <w:pStyle w:val="23"/>
        <w:rPr>
          <w:color w:val="auto"/>
        </w:rPr>
      </w:pPr>
    </w:p>
    <w:p w:rsidR="00916675" w:rsidRPr="00227C94" w:rsidRDefault="00916675" w:rsidP="00690257">
      <w:pPr>
        <w:pStyle w:val="23"/>
        <w:rPr>
          <w:color w:val="auto"/>
          <w:w w:val="0"/>
          <w:lang w:val="en-US"/>
        </w:rPr>
      </w:pPr>
      <w:bookmarkStart w:id="308" w:name="_DV_M314"/>
      <w:bookmarkEnd w:id="308"/>
      <w:r w:rsidRPr="00227C94">
        <w:rPr>
          <w:color w:val="auto"/>
          <w:spacing w:val="-2"/>
          <w:w w:val="0"/>
          <w:lang w:val="en-US"/>
        </w:rPr>
        <w:t>In the reporting period deferred stripping costs increased by 2% and equaled USD65</w:t>
      </w:r>
      <w:proofErr w:type="gramStart"/>
      <w:r w:rsidRPr="00227C94">
        <w:rPr>
          <w:color w:val="auto"/>
          <w:spacing w:val="-2"/>
          <w:w w:val="0"/>
          <w:lang w:val="en-US"/>
        </w:rPr>
        <w:t>,428</w:t>
      </w:r>
      <w:proofErr w:type="gramEnd"/>
      <w:r w:rsidRPr="00227C94">
        <w:rPr>
          <w:color w:val="auto"/>
          <w:spacing w:val="-2"/>
          <w:w w:val="0"/>
          <w:lang w:val="en-US"/>
        </w:rPr>
        <w:t xml:space="preserve"> thousand. </w:t>
      </w:r>
      <w:r w:rsidRPr="00227C94">
        <w:rPr>
          <w:color w:val="auto"/>
          <w:w w:val="0"/>
          <w:lang w:val="en-US"/>
        </w:rPr>
        <w:t xml:space="preserve">The increase mostly reflects capitalisation of stripping costs incurred at the Titimukhta deposit </w:t>
      </w:r>
      <w:r w:rsidR="00690257" w:rsidRPr="00227C94">
        <w:rPr>
          <w:color w:val="auto"/>
          <w:w w:val="0"/>
          <w:lang w:val="en-US"/>
        </w:rPr>
        <w:br/>
      </w:r>
      <w:r w:rsidRPr="00227C94">
        <w:rPr>
          <w:color w:val="auto"/>
          <w:w w:val="0"/>
          <w:lang w:val="en-US"/>
        </w:rPr>
        <w:t>(the Krasnoyarsk business unit) and several deposits at the Yakutia Kuranakh business unit in the total amount of USD8</w:t>
      </w:r>
      <w:proofErr w:type="gramStart"/>
      <w:r w:rsidRPr="00227C94">
        <w:rPr>
          <w:color w:val="auto"/>
          <w:w w:val="0"/>
          <w:lang w:val="en-US"/>
        </w:rPr>
        <w:t>,507</w:t>
      </w:r>
      <w:proofErr w:type="gramEnd"/>
      <w:r w:rsidRPr="00227C94">
        <w:rPr>
          <w:color w:val="auto"/>
          <w:w w:val="0"/>
          <w:lang w:val="en-US"/>
        </w:rPr>
        <w:t xml:space="preserve"> thousand. This was partly offset by expensing of previously capitalised stripping costs at the Olimpiada deposit (the Krasnoyarsk business unit) in the total amount of USD6</w:t>
      </w:r>
      <w:proofErr w:type="gramStart"/>
      <w:r w:rsidRPr="00227C94">
        <w:rPr>
          <w:color w:val="auto"/>
          <w:w w:val="0"/>
          <w:lang w:val="en-US"/>
        </w:rPr>
        <w:t>,164</w:t>
      </w:r>
      <w:proofErr w:type="gramEnd"/>
      <w:r w:rsidRPr="00227C94">
        <w:rPr>
          <w:color w:val="auto"/>
          <w:w w:val="0"/>
          <w:lang w:val="en-US"/>
        </w:rPr>
        <w:t xml:space="preserve"> thousand, as the stripping ratio there was lower than the average life-of-mine ratio for these deposits.</w:t>
      </w:r>
    </w:p>
    <w:p w:rsidR="00690257" w:rsidRPr="00227C94" w:rsidRDefault="00690257" w:rsidP="00690257">
      <w:pPr>
        <w:pStyle w:val="23"/>
        <w:rPr>
          <w:color w:val="auto"/>
          <w:w w:val="0"/>
          <w:lang w:val="en-US"/>
        </w:rPr>
      </w:pPr>
    </w:p>
    <w:p w:rsidR="00916675" w:rsidRPr="00227C94" w:rsidRDefault="00690257" w:rsidP="00690257">
      <w:pPr>
        <w:pStyle w:val="31"/>
        <w:rPr>
          <w:b w:val="0"/>
          <w:w w:val="0"/>
        </w:rPr>
      </w:pPr>
      <w:bookmarkStart w:id="309" w:name="_DV_M317"/>
      <w:bookmarkEnd w:id="309"/>
      <w:r w:rsidRPr="00227C94">
        <w:rPr>
          <w:b w:val="0"/>
          <w:w w:val="0"/>
          <w:lang w:val="en-US"/>
        </w:rPr>
        <w:br w:type="page"/>
      </w:r>
      <w:r w:rsidR="00916675" w:rsidRPr="00227C94">
        <w:rPr>
          <w:b w:val="0"/>
          <w:w w:val="0"/>
        </w:rPr>
        <w:lastRenderedPageBreak/>
        <w:t>Inventories</w:t>
      </w:r>
    </w:p>
    <w:p w:rsidR="00690257" w:rsidRPr="00227C94" w:rsidRDefault="00690257" w:rsidP="00690257">
      <w:pPr>
        <w:pStyle w:val="23"/>
        <w:rPr>
          <w:color w:val="auto"/>
        </w:rPr>
      </w:pPr>
    </w:p>
    <w:p w:rsidR="00916675" w:rsidRPr="00227C94" w:rsidRDefault="00916675" w:rsidP="00690257">
      <w:pPr>
        <w:pStyle w:val="23"/>
        <w:rPr>
          <w:color w:val="auto"/>
          <w:lang w:val="en-US"/>
        </w:rPr>
      </w:pPr>
      <w:bookmarkStart w:id="310" w:name="_DV_M318"/>
      <w:bookmarkEnd w:id="310"/>
      <w:r w:rsidRPr="00227C94">
        <w:rPr>
          <w:color w:val="auto"/>
          <w:w w:val="0"/>
          <w:lang w:val="en-US"/>
        </w:rPr>
        <w:t>In the first half of 2012 long-term inventories increased by 6% from USD207</w:t>
      </w:r>
      <w:proofErr w:type="gramStart"/>
      <w:r w:rsidRPr="00227C94">
        <w:rPr>
          <w:color w:val="auto"/>
          <w:w w:val="0"/>
          <w:lang w:val="en-US"/>
        </w:rPr>
        <w:t>,789</w:t>
      </w:r>
      <w:proofErr w:type="gramEnd"/>
      <w:r w:rsidRPr="00227C94">
        <w:rPr>
          <w:color w:val="auto"/>
          <w:w w:val="0"/>
          <w:lang w:val="en-US"/>
        </w:rPr>
        <w:t xml:space="preserve"> thousand at </w:t>
      </w:r>
      <w:r w:rsidR="00690257" w:rsidRPr="00227C94">
        <w:rPr>
          <w:color w:val="auto"/>
          <w:w w:val="0"/>
          <w:lang w:val="en-US"/>
        </w:rPr>
        <w:br/>
      </w:r>
      <w:r w:rsidRPr="00227C94">
        <w:rPr>
          <w:color w:val="auto"/>
          <w:w w:val="0"/>
          <w:lang w:val="en-US"/>
        </w:rPr>
        <w:t>31 December 2011 to USD220,360 thousand at 30 June 2012. This relates to the increase in</w:t>
      </w:r>
      <w:r w:rsidRPr="00227C94">
        <w:rPr>
          <w:color w:val="auto"/>
          <w:lang w:val="en-US"/>
        </w:rPr>
        <w:t xml:space="preserve"> </w:t>
      </w:r>
      <w:r w:rsidR="00690257" w:rsidRPr="00227C94">
        <w:rPr>
          <w:color w:val="auto"/>
          <w:lang w:val="en-US"/>
        </w:rPr>
        <w:br/>
      </w:r>
      <w:r w:rsidRPr="00227C94">
        <w:rPr>
          <w:color w:val="auto"/>
          <w:lang w:val="en-US"/>
        </w:rPr>
        <w:t>long-term ore stocks at the Krasnoyarsk business unit (please refer to 1.3 Cost of sales, Change in gold-in-process and refined gold). This increase was partly offset by rouble depreciation p-o-p.</w:t>
      </w:r>
    </w:p>
    <w:p w:rsidR="00690257" w:rsidRPr="00227C94" w:rsidRDefault="00690257" w:rsidP="00690257">
      <w:pPr>
        <w:pStyle w:val="23"/>
        <w:rPr>
          <w:color w:val="auto"/>
          <w:lang w:val="en-US"/>
        </w:rPr>
      </w:pPr>
    </w:p>
    <w:p w:rsidR="00916675" w:rsidRPr="00227C94" w:rsidRDefault="00916675" w:rsidP="00690257">
      <w:pPr>
        <w:pStyle w:val="23"/>
        <w:rPr>
          <w:color w:val="auto"/>
          <w:szCs w:val="20"/>
          <w:lang w:val="en-US"/>
        </w:rPr>
      </w:pPr>
      <w:r w:rsidRPr="00227C94">
        <w:rPr>
          <w:color w:val="auto"/>
          <w:lang w:val="en-US"/>
        </w:rPr>
        <w:t xml:space="preserve">When the Group was processing oxide ores at the Olimpiada mine, stockpiles of sulphide ore </w:t>
      </w:r>
      <w:r w:rsidR="00690257" w:rsidRPr="00227C94">
        <w:rPr>
          <w:color w:val="auto"/>
          <w:lang w:val="en-US"/>
        </w:rPr>
        <w:br/>
      </w:r>
      <w:r w:rsidRPr="00227C94">
        <w:rPr>
          <w:color w:val="auto"/>
          <w:lang w:val="en-US"/>
        </w:rPr>
        <w:t xml:space="preserve">(6.8 million tonnes) were considered as waste and accounted for at zero cost. During the period 2008-2010 the Group did not process any zero-value stockpiles. During 2011 and the H1 2012 </w:t>
      </w:r>
      <w:r w:rsidR="00690257" w:rsidRPr="00227C94">
        <w:rPr>
          <w:color w:val="auto"/>
          <w:lang w:val="en-US"/>
        </w:rPr>
        <w:br/>
      </w:r>
      <w:r w:rsidRPr="00227C94">
        <w:rPr>
          <w:color w:val="auto"/>
          <w:lang w:val="en-US"/>
        </w:rPr>
        <w:t xml:space="preserve">the Group processed zero-value inventory, so the remaining volume of zero-valued stockpiles as at 30 June 2012 was 5.1 million tonnes (5.6 million tonnes as at 31 December 2011). </w:t>
      </w:r>
      <w:r w:rsidRPr="00227C94">
        <w:rPr>
          <w:color w:val="auto"/>
          <w:szCs w:val="20"/>
          <w:lang w:val="en-US"/>
        </w:rPr>
        <w:t>This zero-value stockpile could have a significant impact on operations if processed at the present time, since the only cost associated with this inventory would be the processing cost.</w:t>
      </w:r>
      <w:r w:rsidRPr="00227C94">
        <w:rPr>
          <w:color w:val="auto"/>
          <w:lang w:val="en-US"/>
        </w:rPr>
        <w:t xml:space="preserve"> </w:t>
      </w:r>
      <w:r w:rsidRPr="00227C94">
        <w:rPr>
          <w:color w:val="auto"/>
          <w:szCs w:val="20"/>
          <w:lang w:val="en-US"/>
        </w:rPr>
        <w:t>The impact of processing the remaining stockpiles would be an approximate USD92 million increase to profit for the year in which processed. The benefit of processing of 0.5 million tonnes of zero cost stockpiles during the reporting period is estimated at USD11 million.</w:t>
      </w:r>
    </w:p>
    <w:p w:rsidR="00916675" w:rsidRPr="00227C94" w:rsidRDefault="00916675" w:rsidP="00690257">
      <w:pPr>
        <w:pStyle w:val="23"/>
        <w:rPr>
          <w:color w:val="auto"/>
          <w:lang w:val="en-US"/>
        </w:rPr>
      </w:pPr>
    </w:p>
    <w:p w:rsidR="00916675" w:rsidRPr="00227C94" w:rsidRDefault="00916675" w:rsidP="00690257">
      <w:pPr>
        <w:pStyle w:val="31"/>
        <w:rPr>
          <w:w w:val="0"/>
        </w:rPr>
      </w:pPr>
      <w:bookmarkStart w:id="311" w:name="_DV_M320"/>
      <w:bookmarkStart w:id="312" w:name="_DV_M322"/>
      <w:bookmarkEnd w:id="311"/>
      <w:bookmarkEnd w:id="312"/>
      <w:r w:rsidRPr="00227C94">
        <w:rPr>
          <w:w w:val="0"/>
        </w:rPr>
        <w:t>Current assets</w:t>
      </w:r>
    </w:p>
    <w:p w:rsidR="00690257" w:rsidRPr="00227C94" w:rsidRDefault="00690257" w:rsidP="00690257">
      <w:pPr>
        <w:pStyle w:val="23"/>
        <w:rPr>
          <w:color w:val="auto"/>
          <w:w w:val="0"/>
        </w:rPr>
      </w:pPr>
      <w:bookmarkStart w:id="313" w:name="_DV_M323"/>
      <w:bookmarkEnd w:id="313"/>
    </w:p>
    <w:p w:rsidR="00916675" w:rsidRPr="00227C94" w:rsidRDefault="00916675" w:rsidP="00690257">
      <w:pPr>
        <w:pStyle w:val="23"/>
        <w:rPr>
          <w:color w:val="auto"/>
          <w:w w:val="0"/>
          <w:lang w:val="en-US"/>
        </w:rPr>
      </w:pPr>
      <w:r w:rsidRPr="00227C94">
        <w:rPr>
          <w:color w:val="auto"/>
          <w:w w:val="0"/>
          <w:lang w:val="en-US"/>
        </w:rPr>
        <w:t>As at 30 June 2012 the Group’</w:t>
      </w:r>
      <w:bookmarkStart w:id="314" w:name="_DV_C203"/>
      <w:r w:rsidRPr="00227C94">
        <w:rPr>
          <w:color w:val="auto"/>
          <w:w w:val="0"/>
          <w:lang w:val="en-US"/>
        </w:rPr>
        <w:t>s current</w:t>
      </w:r>
      <w:bookmarkStart w:id="315" w:name="_DV_M324"/>
      <w:bookmarkEnd w:id="314"/>
      <w:bookmarkEnd w:id="315"/>
      <w:r w:rsidRPr="00227C94">
        <w:rPr>
          <w:color w:val="auto"/>
          <w:w w:val="0"/>
          <w:lang w:val="en-US"/>
        </w:rPr>
        <w:t xml:space="preserve"> assets amounted to USD1</w:t>
      </w:r>
      <w:proofErr w:type="gramStart"/>
      <w:r w:rsidRPr="00227C94">
        <w:rPr>
          <w:color w:val="auto"/>
          <w:w w:val="0"/>
          <w:lang w:val="en-US"/>
        </w:rPr>
        <w:t>,771,160</w:t>
      </w:r>
      <w:proofErr w:type="gramEnd"/>
      <w:r w:rsidRPr="00227C94">
        <w:rPr>
          <w:color w:val="auto"/>
          <w:w w:val="0"/>
          <w:lang w:val="en-US"/>
        </w:rPr>
        <w:t xml:space="preserve"> thousand, compared to USD1,486,821 thousand at 31 December 2011. This increase of 19% resulted primarily from growth of inventories </w:t>
      </w:r>
      <w:bookmarkStart w:id="316" w:name="_DV_C205"/>
      <w:r w:rsidRPr="00227C94">
        <w:rPr>
          <w:color w:val="auto"/>
          <w:w w:val="0"/>
          <w:lang w:val="en-US"/>
        </w:rPr>
        <w:t>and increased</w:t>
      </w:r>
      <w:bookmarkStart w:id="317" w:name="_DV_M325"/>
      <w:bookmarkEnd w:id="316"/>
      <w:bookmarkEnd w:id="317"/>
      <w:r w:rsidRPr="00227C94">
        <w:rPr>
          <w:color w:val="auto"/>
          <w:w w:val="0"/>
          <w:lang w:val="en-US"/>
        </w:rPr>
        <w:t xml:space="preserve"> cash balance.</w:t>
      </w:r>
    </w:p>
    <w:p w:rsidR="00690257" w:rsidRPr="00227C94" w:rsidRDefault="00690257" w:rsidP="00690257">
      <w:pPr>
        <w:pStyle w:val="23"/>
        <w:rPr>
          <w:color w:val="auto"/>
          <w:w w:val="0"/>
          <w:lang w:val="en-US"/>
        </w:rPr>
      </w:pPr>
    </w:p>
    <w:p w:rsidR="00916675" w:rsidRPr="00227C94" w:rsidRDefault="00916675" w:rsidP="00127D09">
      <w:pPr>
        <w:pStyle w:val="31"/>
        <w:rPr>
          <w:b w:val="0"/>
          <w:w w:val="0"/>
        </w:rPr>
      </w:pPr>
      <w:bookmarkStart w:id="318" w:name="_DV_M326"/>
      <w:bookmarkEnd w:id="318"/>
      <w:r w:rsidRPr="00227C94">
        <w:rPr>
          <w:b w:val="0"/>
          <w:w w:val="0"/>
        </w:rPr>
        <w:t>Inventories</w:t>
      </w:r>
    </w:p>
    <w:p w:rsidR="00690257" w:rsidRPr="00227C94" w:rsidRDefault="00690257" w:rsidP="00690257">
      <w:pPr>
        <w:pStyle w:val="23"/>
        <w:rPr>
          <w:color w:val="auto"/>
          <w:w w:val="0"/>
        </w:rPr>
      </w:pPr>
      <w:bookmarkStart w:id="319" w:name="_DV_M327"/>
      <w:bookmarkEnd w:id="319"/>
    </w:p>
    <w:p w:rsidR="00916675" w:rsidRPr="00227C94" w:rsidRDefault="00916675" w:rsidP="00690257">
      <w:pPr>
        <w:pStyle w:val="23"/>
        <w:rPr>
          <w:color w:val="auto"/>
          <w:w w:val="0"/>
          <w:lang w:val="en-US"/>
        </w:rPr>
      </w:pPr>
      <w:r w:rsidRPr="00227C94">
        <w:rPr>
          <w:color w:val="auto"/>
          <w:w w:val="0"/>
          <w:lang w:val="en-US"/>
        </w:rPr>
        <w:t>During the first half of 2012, inventories increased by 11% to USD604</w:t>
      </w:r>
      <w:proofErr w:type="gramStart"/>
      <w:r w:rsidRPr="00227C94">
        <w:rPr>
          <w:color w:val="auto"/>
          <w:w w:val="0"/>
          <w:lang w:val="en-US"/>
        </w:rPr>
        <w:t>,505</w:t>
      </w:r>
      <w:proofErr w:type="gramEnd"/>
      <w:r w:rsidRPr="00227C94">
        <w:rPr>
          <w:color w:val="auto"/>
          <w:w w:val="0"/>
          <w:lang w:val="en-US"/>
        </w:rPr>
        <w:t xml:space="preserve"> thousand mostly due to the increase in metal inventories from USD188,515 thousand at 31 December 2011 to </w:t>
      </w:r>
      <w:r w:rsidR="00127D09" w:rsidRPr="00227C94">
        <w:rPr>
          <w:color w:val="auto"/>
          <w:w w:val="0"/>
          <w:lang w:val="en-US"/>
        </w:rPr>
        <w:br/>
      </w:r>
      <w:r w:rsidRPr="00227C94">
        <w:rPr>
          <w:color w:val="auto"/>
          <w:w w:val="0"/>
          <w:lang w:val="en-US"/>
        </w:rPr>
        <w:t xml:space="preserve">USD235,732 thousand at 30 June 2012. Gold-in-process increased </w:t>
      </w:r>
      <w:bookmarkStart w:id="320" w:name="_DV_C207"/>
      <w:r w:rsidRPr="00227C94">
        <w:rPr>
          <w:color w:val="auto"/>
          <w:w w:val="0"/>
          <w:lang w:val="en-US"/>
        </w:rPr>
        <w:t>mainly at</w:t>
      </w:r>
      <w:bookmarkStart w:id="321" w:name="_DV_M328"/>
      <w:bookmarkEnd w:id="320"/>
      <w:bookmarkEnd w:id="321"/>
      <w:r w:rsidRPr="00227C94">
        <w:rPr>
          <w:color w:val="auto"/>
          <w:w w:val="0"/>
          <w:lang w:val="en-US"/>
        </w:rPr>
        <w:t xml:space="preserve"> the Krasnoyarsk business unit (mostly short-term stockpiles). At 30 June 2012 the balance of Dore gold remaining at </w:t>
      </w:r>
      <w:r w:rsidRPr="00227C94">
        <w:rPr>
          <w:color w:val="auto"/>
          <w:spacing w:val="-4"/>
          <w:w w:val="0"/>
          <w:lang w:val="en-US"/>
        </w:rPr>
        <w:t xml:space="preserve">the plant and refinery amounted to 54 thousand troy ounces (22 thousand ounces at 31 December 2011). </w:t>
      </w:r>
      <w:r w:rsidRPr="00227C94">
        <w:rPr>
          <w:color w:val="auto"/>
          <w:w w:val="0"/>
          <w:lang w:val="en-US"/>
        </w:rPr>
        <w:t xml:space="preserve">This increase was enhanced by an increase in the cost of production at which metal inventories were recorded to the statement of financial position and the impact of the exchange rate factor. All these factors resulted in </w:t>
      </w:r>
      <w:r w:rsidR="00864259" w:rsidRPr="00227C94">
        <w:rPr>
          <w:color w:val="auto"/>
          <w:w w:val="0"/>
          <w:lang w:val="en-US"/>
        </w:rPr>
        <w:t xml:space="preserve">a </w:t>
      </w:r>
      <w:r w:rsidRPr="00227C94">
        <w:rPr>
          <w:color w:val="auto"/>
          <w:w w:val="0"/>
          <w:lang w:val="en-US"/>
        </w:rPr>
        <w:t>25% increase in cost of gold-in-process to USD229</w:t>
      </w:r>
      <w:proofErr w:type="gramStart"/>
      <w:r w:rsidRPr="00227C94">
        <w:rPr>
          <w:color w:val="auto"/>
          <w:w w:val="0"/>
          <w:lang w:val="en-US"/>
        </w:rPr>
        <w:t>,174</w:t>
      </w:r>
      <w:proofErr w:type="gramEnd"/>
      <w:r w:rsidRPr="00227C94">
        <w:rPr>
          <w:color w:val="auto"/>
          <w:w w:val="0"/>
          <w:lang w:val="en-US"/>
        </w:rPr>
        <w:t xml:space="preserve"> thousand.</w:t>
      </w:r>
    </w:p>
    <w:p w:rsidR="00690257" w:rsidRPr="00227C94" w:rsidRDefault="00690257" w:rsidP="00690257">
      <w:pPr>
        <w:pStyle w:val="23"/>
        <w:rPr>
          <w:color w:val="auto"/>
          <w:w w:val="0"/>
          <w:lang w:val="en-US"/>
        </w:rPr>
      </w:pPr>
    </w:p>
    <w:p w:rsidR="00916675" w:rsidRPr="00227C94" w:rsidRDefault="00916675" w:rsidP="00690257">
      <w:pPr>
        <w:pStyle w:val="23"/>
        <w:rPr>
          <w:color w:val="auto"/>
          <w:w w:val="0"/>
          <w:lang w:val="en-US"/>
        </w:rPr>
      </w:pPr>
      <w:bookmarkStart w:id="322" w:name="_DV_M329"/>
      <w:bookmarkEnd w:id="322"/>
      <w:r w:rsidRPr="00227C94">
        <w:rPr>
          <w:color w:val="auto"/>
          <w:w w:val="0"/>
          <w:lang w:val="en-US"/>
        </w:rPr>
        <w:t>Stocks of unsold finished goods declined from USD24</w:t>
      </w:r>
      <w:proofErr w:type="gramStart"/>
      <w:r w:rsidRPr="00227C94">
        <w:rPr>
          <w:color w:val="auto"/>
          <w:w w:val="0"/>
          <w:lang w:val="en-US"/>
        </w:rPr>
        <w:t>,757</w:t>
      </w:r>
      <w:proofErr w:type="gramEnd"/>
      <w:r w:rsidRPr="00227C94">
        <w:rPr>
          <w:color w:val="auto"/>
          <w:w w:val="0"/>
          <w:lang w:val="en-US"/>
        </w:rPr>
        <w:t xml:space="preserve"> thousand at the beginning of the year to USD6,558 thousand at</w:t>
      </w:r>
      <w:bookmarkStart w:id="323" w:name="_DV_C209"/>
      <w:r w:rsidRPr="00227C94">
        <w:rPr>
          <w:color w:val="auto"/>
          <w:w w:val="0"/>
          <w:lang w:val="en-US"/>
        </w:rPr>
        <w:t xml:space="preserve"> 30 June 2012.</w:t>
      </w:r>
      <w:bookmarkStart w:id="324" w:name="_DV_M330"/>
      <w:bookmarkEnd w:id="323"/>
      <w:bookmarkEnd w:id="324"/>
    </w:p>
    <w:p w:rsidR="00690257" w:rsidRPr="00227C94" w:rsidRDefault="00690257" w:rsidP="00690257">
      <w:pPr>
        <w:pStyle w:val="23"/>
        <w:rPr>
          <w:color w:val="auto"/>
          <w:w w:val="0"/>
          <w:lang w:val="en-US"/>
        </w:rPr>
      </w:pPr>
    </w:p>
    <w:p w:rsidR="00916675" w:rsidRPr="00227C94" w:rsidRDefault="00864259" w:rsidP="00690257">
      <w:pPr>
        <w:pStyle w:val="23"/>
        <w:rPr>
          <w:color w:val="auto"/>
          <w:w w:val="0"/>
          <w:lang w:val="en-US"/>
        </w:rPr>
      </w:pPr>
      <w:bookmarkStart w:id="325" w:name="_DV_M331"/>
      <w:bookmarkEnd w:id="325"/>
      <w:r w:rsidRPr="00227C94">
        <w:rPr>
          <w:color w:val="auto"/>
          <w:w w:val="0"/>
          <w:lang w:val="en-US"/>
        </w:rPr>
        <w:t>The v</w:t>
      </w:r>
      <w:r w:rsidR="00916675" w:rsidRPr="00227C94">
        <w:rPr>
          <w:color w:val="auto"/>
          <w:w w:val="0"/>
          <w:lang w:val="en-US"/>
        </w:rPr>
        <w:t>alue of stores and materials increased 4% from USD354</w:t>
      </w:r>
      <w:proofErr w:type="gramStart"/>
      <w:r w:rsidR="00916675" w:rsidRPr="00227C94">
        <w:rPr>
          <w:color w:val="auto"/>
          <w:w w:val="0"/>
          <w:lang w:val="en-US"/>
        </w:rPr>
        <w:t>,508</w:t>
      </w:r>
      <w:proofErr w:type="gramEnd"/>
      <w:r w:rsidR="00916675" w:rsidRPr="00227C94">
        <w:rPr>
          <w:color w:val="auto"/>
          <w:w w:val="0"/>
          <w:lang w:val="en-US"/>
        </w:rPr>
        <w:t xml:space="preserve"> thousand at the beginning of the year to USD368,773 thousand as at 30 June 2012, which was largely driven by the increase in purchase prices for consumables and spares</w:t>
      </w:r>
      <w:r w:rsidR="00127D09" w:rsidRPr="00227C94">
        <w:rPr>
          <w:color w:val="auto"/>
          <w:w w:val="0"/>
          <w:lang w:val="en-US"/>
        </w:rPr>
        <w:t>.</w:t>
      </w:r>
    </w:p>
    <w:p w:rsidR="00127D09" w:rsidRPr="00227C94" w:rsidRDefault="00127D09" w:rsidP="00690257">
      <w:pPr>
        <w:pStyle w:val="23"/>
        <w:rPr>
          <w:color w:val="auto"/>
          <w:w w:val="0"/>
          <w:lang w:val="en-US"/>
        </w:rPr>
      </w:pPr>
    </w:p>
    <w:p w:rsidR="00916675" w:rsidRPr="00227C94" w:rsidRDefault="00916675" w:rsidP="00127D09">
      <w:pPr>
        <w:pStyle w:val="31"/>
        <w:rPr>
          <w:b w:val="0"/>
          <w:w w:val="0"/>
          <w:lang w:val="en-US"/>
        </w:rPr>
      </w:pPr>
      <w:bookmarkStart w:id="326" w:name="_DV_M332"/>
      <w:bookmarkEnd w:id="326"/>
      <w:r w:rsidRPr="00227C94">
        <w:rPr>
          <w:b w:val="0"/>
          <w:w w:val="0"/>
          <w:lang w:val="en-US"/>
        </w:rPr>
        <w:t>Investments in securities and other financial assets</w:t>
      </w:r>
    </w:p>
    <w:p w:rsidR="00127D09" w:rsidRPr="00227C94" w:rsidRDefault="00127D09" w:rsidP="00127D09">
      <w:pPr>
        <w:pStyle w:val="23"/>
        <w:rPr>
          <w:color w:val="auto"/>
          <w:lang w:val="en-US"/>
        </w:rPr>
      </w:pPr>
    </w:p>
    <w:p w:rsidR="00916675" w:rsidRPr="00227C94" w:rsidRDefault="00916675" w:rsidP="00127D09">
      <w:pPr>
        <w:pStyle w:val="23"/>
        <w:rPr>
          <w:color w:val="auto"/>
          <w:w w:val="0"/>
          <w:lang w:val="en-US"/>
        </w:rPr>
      </w:pPr>
      <w:bookmarkStart w:id="327" w:name="_DV_M333"/>
      <w:bookmarkEnd w:id="327"/>
      <w:r w:rsidRPr="00227C94">
        <w:rPr>
          <w:color w:val="auto"/>
          <w:w w:val="0"/>
          <w:lang w:val="en-US"/>
        </w:rPr>
        <w:t>At 30 June 2012, the short-term investments in securities and other financial assets totalled USD75</w:t>
      </w:r>
      <w:proofErr w:type="gramStart"/>
      <w:r w:rsidRPr="00227C94">
        <w:rPr>
          <w:color w:val="auto"/>
          <w:w w:val="0"/>
          <w:lang w:val="en-US"/>
        </w:rPr>
        <w:t>,932</w:t>
      </w:r>
      <w:proofErr w:type="gramEnd"/>
      <w:r w:rsidRPr="00227C94">
        <w:rPr>
          <w:color w:val="auto"/>
          <w:w w:val="0"/>
          <w:lang w:val="en-US"/>
        </w:rPr>
        <w:t xml:space="preserve"> thousand, compared to USD63,468 thousand at 31 December 2011, reflecting a 20% increase. Annuali</w:t>
      </w:r>
      <w:r w:rsidR="005A0B85" w:rsidRPr="00227C94">
        <w:rPr>
          <w:color w:val="auto"/>
          <w:w w:val="0"/>
          <w:lang w:val="en-US"/>
        </w:rPr>
        <w:t>s</w:t>
      </w:r>
      <w:r w:rsidRPr="00227C94">
        <w:rPr>
          <w:color w:val="auto"/>
          <w:w w:val="0"/>
          <w:lang w:val="en-US"/>
        </w:rPr>
        <w:t>ed return on investments in the first half of 2012 amounted to 6.9%. Annuali</w:t>
      </w:r>
      <w:r w:rsidR="005A0B85" w:rsidRPr="00227C94">
        <w:rPr>
          <w:color w:val="auto"/>
          <w:w w:val="0"/>
          <w:lang w:val="en-US"/>
        </w:rPr>
        <w:t>s</w:t>
      </w:r>
      <w:r w:rsidRPr="00227C94">
        <w:rPr>
          <w:color w:val="auto"/>
          <w:w w:val="0"/>
          <w:lang w:val="en-US"/>
        </w:rPr>
        <w:t>ed effective return on bank deposits equalled 6.6%.</w:t>
      </w:r>
    </w:p>
    <w:p w:rsidR="00127D09" w:rsidRPr="00227C94" w:rsidRDefault="00127D09" w:rsidP="00127D09">
      <w:pPr>
        <w:pStyle w:val="23"/>
        <w:rPr>
          <w:color w:val="auto"/>
          <w:w w:val="0"/>
          <w:lang w:val="en-US"/>
        </w:rPr>
      </w:pPr>
    </w:p>
    <w:p w:rsidR="00916675" w:rsidRPr="00227C94" w:rsidRDefault="00127D09" w:rsidP="00127D09">
      <w:pPr>
        <w:pStyle w:val="23"/>
        <w:rPr>
          <w:color w:val="auto"/>
          <w:w w:val="0"/>
          <w:lang w:val="en-US"/>
        </w:rPr>
      </w:pPr>
      <w:bookmarkStart w:id="328" w:name="_DV_M334"/>
      <w:bookmarkEnd w:id="328"/>
      <w:r w:rsidRPr="00227C94">
        <w:rPr>
          <w:color w:val="auto"/>
          <w:w w:val="0"/>
          <w:lang w:val="en-US"/>
        </w:rPr>
        <w:br w:type="page"/>
      </w:r>
      <w:r w:rsidR="00916675" w:rsidRPr="00227C94">
        <w:rPr>
          <w:color w:val="auto"/>
          <w:w w:val="0"/>
          <w:lang w:val="en-US"/>
        </w:rPr>
        <w:lastRenderedPageBreak/>
        <w:t>Short-term investments during the six months ended 30 June 2012 are presented in the table below:</w:t>
      </w:r>
    </w:p>
    <w:p w:rsidR="00127D09" w:rsidRPr="00227C94" w:rsidRDefault="00127D09" w:rsidP="00127D09">
      <w:pPr>
        <w:pStyle w:val="23"/>
        <w:rPr>
          <w:color w:val="auto"/>
          <w:w w:val="0"/>
          <w:lang w:val="en-US"/>
        </w:rPr>
      </w:pPr>
    </w:p>
    <w:tbl>
      <w:tblPr>
        <w:tblW w:w="9022" w:type="dxa"/>
        <w:tblInd w:w="476" w:type="dxa"/>
        <w:tblLayout w:type="fixed"/>
        <w:tblCellMar>
          <w:left w:w="0" w:type="dxa"/>
          <w:right w:w="0" w:type="dxa"/>
        </w:tblCellMar>
        <w:tblLook w:val="0000" w:firstRow="0" w:lastRow="0" w:firstColumn="0" w:lastColumn="0" w:noHBand="0" w:noVBand="0"/>
      </w:tblPr>
      <w:tblGrid>
        <w:gridCol w:w="4344"/>
        <w:gridCol w:w="1559"/>
        <w:gridCol w:w="283"/>
        <w:gridCol w:w="1276"/>
        <w:gridCol w:w="284"/>
        <w:gridCol w:w="1276"/>
      </w:tblGrid>
      <w:tr w:rsidR="00127D09" w:rsidRPr="00227C94" w:rsidTr="00D526D9">
        <w:trPr>
          <w:cantSplit/>
        </w:trPr>
        <w:tc>
          <w:tcPr>
            <w:tcW w:w="4344" w:type="dxa"/>
            <w:tcBorders>
              <w:top w:val="nil"/>
              <w:left w:val="nil"/>
              <w:bottom w:val="nil"/>
              <w:right w:val="nil"/>
            </w:tcBorders>
            <w:vAlign w:val="bottom"/>
          </w:tcPr>
          <w:p w:rsidR="00127D09" w:rsidRPr="00227C94" w:rsidRDefault="00127D09" w:rsidP="00127D09">
            <w:pPr>
              <w:pStyle w:val="tblHeaderText"/>
              <w:jc w:val="left"/>
              <w:rPr>
                <w:w w:val="0"/>
              </w:rPr>
            </w:pPr>
            <w:r w:rsidRPr="00227C94">
              <w:rPr>
                <w:w w:val="0"/>
              </w:rPr>
              <w:t>USD‘000</w:t>
            </w:r>
          </w:p>
        </w:tc>
        <w:tc>
          <w:tcPr>
            <w:tcW w:w="1559" w:type="dxa"/>
            <w:tcBorders>
              <w:top w:val="nil"/>
              <w:left w:val="nil"/>
              <w:bottom w:val="single" w:sz="6" w:space="0" w:color="auto"/>
              <w:right w:val="nil"/>
            </w:tcBorders>
            <w:shd w:val="clear" w:color="auto" w:fill="auto"/>
            <w:vAlign w:val="bottom"/>
          </w:tcPr>
          <w:p w:rsidR="00864259" w:rsidRPr="00227C94" w:rsidRDefault="00127D09" w:rsidP="00B71A14">
            <w:pPr>
              <w:pStyle w:val="tblHeaderText"/>
              <w:rPr>
                <w:w w:val="0"/>
                <w:lang w:val="en-US"/>
              </w:rPr>
            </w:pPr>
            <w:r w:rsidRPr="00227C94">
              <w:rPr>
                <w:w w:val="0"/>
              </w:rPr>
              <w:t>30 June</w:t>
            </w:r>
          </w:p>
          <w:p w:rsidR="00127D09" w:rsidRPr="00227C94" w:rsidRDefault="00127D09" w:rsidP="00B71A14">
            <w:pPr>
              <w:pStyle w:val="tblHeaderText"/>
              <w:rPr>
                <w:w w:val="0"/>
              </w:rPr>
            </w:pPr>
            <w:r w:rsidRPr="00227C94">
              <w:rPr>
                <w:w w:val="0"/>
              </w:rPr>
              <w:t>2012</w:t>
            </w:r>
          </w:p>
        </w:tc>
        <w:tc>
          <w:tcPr>
            <w:tcW w:w="283" w:type="dxa"/>
            <w:tcBorders>
              <w:top w:val="nil"/>
              <w:left w:val="nil"/>
              <w:bottom w:val="nil"/>
              <w:right w:val="nil"/>
            </w:tcBorders>
            <w:vAlign w:val="bottom"/>
          </w:tcPr>
          <w:p w:rsidR="00127D09" w:rsidRPr="00227C94" w:rsidRDefault="00127D09" w:rsidP="00B71A14">
            <w:pPr>
              <w:pStyle w:val="tblHeaderText"/>
              <w:rPr>
                <w:w w:val="0"/>
              </w:rPr>
            </w:pPr>
          </w:p>
        </w:tc>
        <w:tc>
          <w:tcPr>
            <w:tcW w:w="1276" w:type="dxa"/>
            <w:tcBorders>
              <w:top w:val="nil"/>
              <w:left w:val="nil"/>
              <w:bottom w:val="single" w:sz="6" w:space="0" w:color="auto"/>
              <w:right w:val="nil"/>
            </w:tcBorders>
            <w:shd w:val="clear" w:color="auto" w:fill="auto"/>
            <w:vAlign w:val="bottom"/>
          </w:tcPr>
          <w:p w:rsidR="00127D09" w:rsidRPr="00227C94" w:rsidRDefault="00127D09" w:rsidP="00B71A14">
            <w:pPr>
              <w:pStyle w:val="tblHeaderText"/>
              <w:rPr>
                <w:w w:val="0"/>
              </w:rPr>
            </w:pPr>
            <w:r w:rsidRPr="00227C94">
              <w:rPr>
                <w:w w:val="0"/>
              </w:rPr>
              <w:t>31 December 2011</w:t>
            </w:r>
          </w:p>
        </w:tc>
        <w:tc>
          <w:tcPr>
            <w:tcW w:w="284" w:type="dxa"/>
            <w:tcBorders>
              <w:top w:val="nil"/>
              <w:left w:val="nil"/>
              <w:bottom w:val="nil"/>
              <w:right w:val="nil"/>
            </w:tcBorders>
            <w:vAlign w:val="bottom"/>
          </w:tcPr>
          <w:p w:rsidR="00127D09" w:rsidRPr="00227C94" w:rsidRDefault="00127D09" w:rsidP="00127D09">
            <w:pPr>
              <w:pStyle w:val="tblHeaderText"/>
              <w:rPr>
                <w:w w:val="0"/>
              </w:rPr>
            </w:pPr>
          </w:p>
        </w:tc>
        <w:tc>
          <w:tcPr>
            <w:tcW w:w="1276" w:type="dxa"/>
            <w:tcBorders>
              <w:top w:val="nil"/>
              <w:left w:val="nil"/>
              <w:bottom w:val="single" w:sz="6" w:space="0" w:color="auto"/>
              <w:right w:val="nil"/>
            </w:tcBorders>
            <w:shd w:val="clear" w:color="auto" w:fill="auto"/>
            <w:vAlign w:val="bottom"/>
          </w:tcPr>
          <w:p w:rsidR="00D526D9" w:rsidRPr="00227C94" w:rsidRDefault="00D526D9" w:rsidP="00D526D9">
            <w:pPr>
              <w:pStyle w:val="tblHeaderText"/>
              <w:rPr>
                <w:w w:val="0"/>
                <w:lang w:val="en-US"/>
              </w:rPr>
            </w:pPr>
            <w:r w:rsidRPr="00227C94">
              <w:rPr>
                <w:w w:val="0"/>
                <w:lang w:val="en-US"/>
              </w:rPr>
              <w:t>%</w:t>
            </w:r>
          </w:p>
          <w:p w:rsidR="00127D09" w:rsidRPr="00227C94" w:rsidRDefault="00D526D9" w:rsidP="00D526D9">
            <w:pPr>
              <w:pStyle w:val="tblHeaderText"/>
              <w:rPr>
                <w:w w:val="0"/>
              </w:rPr>
            </w:pPr>
            <w:r w:rsidRPr="00227C94">
              <w:rPr>
                <w:w w:val="0"/>
                <w:lang w:val="en-GB"/>
              </w:rPr>
              <w:t>c</w:t>
            </w:r>
            <w:r w:rsidRPr="00227C94">
              <w:rPr>
                <w:w w:val="0"/>
              </w:rPr>
              <w:t>hange</w:t>
            </w:r>
          </w:p>
        </w:tc>
      </w:tr>
      <w:tr w:rsidR="00127D09" w:rsidRPr="00227C94" w:rsidTr="00D526D9">
        <w:trPr>
          <w:cantSplit/>
        </w:trPr>
        <w:tc>
          <w:tcPr>
            <w:tcW w:w="4344" w:type="dxa"/>
            <w:tcBorders>
              <w:top w:val="nil"/>
              <w:left w:val="nil"/>
              <w:bottom w:val="nil"/>
              <w:right w:val="nil"/>
            </w:tcBorders>
          </w:tcPr>
          <w:p w:rsidR="00127D09" w:rsidRPr="00227C94" w:rsidRDefault="00127D09" w:rsidP="00127D09">
            <w:pPr>
              <w:pStyle w:val="tblHeaderText"/>
              <w:jc w:val="left"/>
              <w:rPr>
                <w:w w:val="0"/>
              </w:rPr>
            </w:pPr>
          </w:p>
        </w:tc>
        <w:tc>
          <w:tcPr>
            <w:tcW w:w="1559" w:type="dxa"/>
            <w:tcBorders>
              <w:top w:val="single" w:sz="6" w:space="0" w:color="auto"/>
              <w:left w:val="nil"/>
              <w:bottom w:val="nil"/>
              <w:right w:val="nil"/>
            </w:tcBorders>
            <w:shd w:val="clear" w:color="auto" w:fill="auto"/>
          </w:tcPr>
          <w:p w:rsidR="00127D09" w:rsidRPr="00227C94" w:rsidRDefault="00127D09" w:rsidP="00127D09">
            <w:pPr>
              <w:pStyle w:val="tblHeaderText"/>
              <w:rPr>
                <w:w w:val="0"/>
              </w:rPr>
            </w:pPr>
          </w:p>
        </w:tc>
        <w:tc>
          <w:tcPr>
            <w:tcW w:w="283" w:type="dxa"/>
            <w:tcBorders>
              <w:top w:val="nil"/>
              <w:left w:val="nil"/>
              <w:bottom w:val="nil"/>
              <w:right w:val="nil"/>
            </w:tcBorders>
          </w:tcPr>
          <w:p w:rsidR="00127D09" w:rsidRPr="00227C94" w:rsidRDefault="00127D09" w:rsidP="00127D09">
            <w:pPr>
              <w:pStyle w:val="tblHeaderText"/>
              <w:rPr>
                <w:w w:val="0"/>
              </w:rPr>
            </w:pPr>
          </w:p>
        </w:tc>
        <w:tc>
          <w:tcPr>
            <w:tcW w:w="1276" w:type="dxa"/>
            <w:tcBorders>
              <w:top w:val="single" w:sz="6" w:space="0" w:color="auto"/>
              <w:left w:val="nil"/>
              <w:bottom w:val="nil"/>
              <w:right w:val="nil"/>
            </w:tcBorders>
            <w:shd w:val="clear" w:color="auto" w:fill="auto"/>
          </w:tcPr>
          <w:p w:rsidR="00127D09" w:rsidRPr="00227C94" w:rsidRDefault="00127D09" w:rsidP="00127D09">
            <w:pPr>
              <w:pStyle w:val="tblHeaderText"/>
              <w:rPr>
                <w:w w:val="0"/>
              </w:rPr>
            </w:pPr>
          </w:p>
        </w:tc>
        <w:tc>
          <w:tcPr>
            <w:tcW w:w="284" w:type="dxa"/>
            <w:tcBorders>
              <w:top w:val="nil"/>
              <w:left w:val="nil"/>
              <w:bottom w:val="nil"/>
              <w:right w:val="nil"/>
            </w:tcBorders>
          </w:tcPr>
          <w:p w:rsidR="00127D09" w:rsidRPr="00227C94" w:rsidRDefault="00127D09" w:rsidP="00127D09">
            <w:pPr>
              <w:pStyle w:val="tblHeaderText"/>
              <w:rPr>
                <w:w w:val="0"/>
              </w:rPr>
            </w:pPr>
          </w:p>
        </w:tc>
        <w:tc>
          <w:tcPr>
            <w:tcW w:w="1276" w:type="dxa"/>
            <w:tcBorders>
              <w:top w:val="single" w:sz="6" w:space="0" w:color="auto"/>
              <w:left w:val="nil"/>
              <w:bottom w:val="nil"/>
              <w:right w:val="nil"/>
            </w:tcBorders>
            <w:shd w:val="clear" w:color="auto" w:fill="auto"/>
          </w:tcPr>
          <w:p w:rsidR="00127D09" w:rsidRPr="00227C94" w:rsidRDefault="00127D09" w:rsidP="00127D09">
            <w:pPr>
              <w:pStyle w:val="tblHeaderText"/>
              <w:rPr>
                <w:w w:val="0"/>
              </w:rPr>
            </w:pPr>
          </w:p>
        </w:tc>
      </w:tr>
      <w:tr w:rsidR="00127D09" w:rsidRPr="00227C94" w:rsidTr="00D526D9">
        <w:trPr>
          <w:cantSplit/>
        </w:trPr>
        <w:tc>
          <w:tcPr>
            <w:tcW w:w="4344" w:type="dxa"/>
            <w:tcBorders>
              <w:top w:val="nil"/>
              <w:left w:val="nil"/>
              <w:bottom w:val="nil"/>
              <w:right w:val="nil"/>
            </w:tcBorders>
          </w:tcPr>
          <w:p w:rsidR="00127D09" w:rsidRPr="00227C94" w:rsidRDefault="00127D09" w:rsidP="00127D09">
            <w:pPr>
              <w:pStyle w:val="tblText02"/>
              <w:rPr>
                <w:b/>
                <w:w w:val="0"/>
                <w:lang w:val="en-GB"/>
              </w:rPr>
            </w:pPr>
            <w:r w:rsidRPr="003B340C">
              <w:rPr>
                <w:b/>
                <w:w w:val="0"/>
                <w:lang w:val="en-GB"/>
              </w:rPr>
              <w:t>Available-for-sale investments</w:t>
            </w:r>
          </w:p>
          <w:p w:rsidR="00D526D9" w:rsidRPr="00227C94" w:rsidRDefault="00B71A14" w:rsidP="00D526D9">
            <w:pPr>
              <w:pStyle w:val="tblText02"/>
              <w:ind w:left="0" w:firstLine="0"/>
              <w:rPr>
                <w:w w:val="0"/>
                <w:lang w:val="en-GB"/>
              </w:rPr>
            </w:pPr>
            <w:r w:rsidRPr="00227C94">
              <w:rPr>
                <w:w w:val="0"/>
                <w:lang w:val="en-US"/>
              </w:rPr>
              <w:t>M</w:t>
            </w:r>
            <w:r w:rsidR="00D526D9" w:rsidRPr="00227C94">
              <w:rPr>
                <w:w w:val="0"/>
                <w:lang w:val="en-US"/>
              </w:rPr>
              <w:t>ainly represented by shares of Rosfund. There was no disposal or acquisition of available-for-sale investments during the reporting period. In the first half of 2012, the fair value of these investments declined by USD1</w:t>
            </w:r>
            <w:proofErr w:type="gramStart"/>
            <w:r w:rsidR="00D526D9" w:rsidRPr="00227C94">
              <w:rPr>
                <w:w w:val="0"/>
                <w:lang w:val="en-US"/>
              </w:rPr>
              <w:t>,791</w:t>
            </w:r>
            <w:proofErr w:type="gramEnd"/>
            <w:r w:rsidR="00D526D9" w:rsidRPr="00227C94">
              <w:rPr>
                <w:w w:val="0"/>
                <w:lang w:val="en-US"/>
              </w:rPr>
              <w:t xml:space="preserve"> thousand. This decrease was recognised in equity within the investment revaluation reserve.</w:t>
            </w:r>
          </w:p>
        </w:tc>
        <w:tc>
          <w:tcPr>
            <w:tcW w:w="1559" w:type="dxa"/>
            <w:tcBorders>
              <w:top w:val="nil"/>
              <w:left w:val="nil"/>
              <w:bottom w:val="nil"/>
              <w:right w:val="nil"/>
            </w:tcBorders>
          </w:tcPr>
          <w:p w:rsidR="00127D09" w:rsidRPr="00227C94" w:rsidRDefault="00127D09" w:rsidP="00AB0610">
            <w:pPr>
              <w:pStyle w:val="tblNumber01"/>
            </w:pPr>
            <w:r w:rsidRPr="00227C94">
              <w:t>32,953</w:t>
            </w:r>
          </w:p>
        </w:tc>
        <w:tc>
          <w:tcPr>
            <w:tcW w:w="283" w:type="dxa"/>
            <w:tcBorders>
              <w:top w:val="nil"/>
              <w:left w:val="nil"/>
              <w:bottom w:val="nil"/>
              <w:right w:val="nil"/>
            </w:tcBorders>
          </w:tcPr>
          <w:p w:rsidR="00127D09" w:rsidRPr="00227C94" w:rsidRDefault="00127D09" w:rsidP="00AB0610">
            <w:pPr>
              <w:pStyle w:val="tblNumber01"/>
            </w:pPr>
          </w:p>
        </w:tc>
        <w:tc>
          <w:tcPr>
            <w:tcW w:w="1276" w:type="dxa"/>
            <w:tcBorders>
              <w:top w:val="nil"/>
              <w:left w:val="nil"/>
              <w:bottom w:val="nil"/>
              <w:right w:val="nil"/>
            </w:tcBorders>
          </w:tcPr>
          <w:p w:rsidR="00127D09" w:rsidRPr="00227C94" w:rsidRDefault="00127D09" w:rsidP="00AB0610">
            <w:pPr>
              <w:pStyle w:val="tblNumber01"/>
            </w:pPr>
            <w:r w:rsidRPr="00227C94">
              <w:t>34,744</w:t>
            </w:r>
          </w:p>
        </w:tc>
        <w:tc>
          <w:tcPr>
            <w:tcW w:w="284" w:type="dxa"/>
            <w:tcBorders>
              <w:top w:val="nil"/>
              <w:left w:val="nil"/>
              <w:bottom w:val="nil"/>
              <w:right w:val="nil"/>
            </w:tcBorders>
            <w:vAlign w:val="bottom"/>
          </w:tcPr>
          <w:p w:rsidR="00127D09" w:rsidRPr="00227C94" w:rsidRDefault="00127D09" w:rsidP="00127D09">
            <w:pPr>
              <w:pStyle w:val="tblNumber01"/>
              <w:rPr>
                <w:w w:val="0"/>
              </w:rPr>
            </w:pPr>
          </w:p>
        </w:tc>
        <w:tc>
          <w:tcPr>
            <w:tcW w:w="1276" w:type="dxa"/>
            <w:tcBorders>
              <w:top w:val="nil"/>
              <w:left w:val="nil"/>
              <w:bottom w:val="nil"/>
              <w:right w:val="nil"/>
            </w:tcBorders>
          </w:tcPr>
          <w:p w:rsidR="00127D09" w:rsidRPr="00227C94" w:rsidRDefault="00D526D9" w:rsidP="00D526D9">
            <w:pPr>
              <w:pStyle w:val="tblText02"/>
              <w:jc w:val="right"/>
              <w:rPr>
                <w:w w:val="0"/>
                <w:lang w:val="en-US"/>
              </w:rPr>
            </w:pPr>
            <w:r w:rsidRPr="00227C94">
              <w:rPr>
                <w:w w:val="0"/>
                <w:lang w:val="en-US"/>
              </w:rPr>
              <w:t>(5)</w:t>
            </w:r>
          </w:p>
        </w:tc>
      </w:tr>
      <w:tr w:rsidR="00F22941" w:rsidRPr="00227C94" w:rsidTr="00D526D9">
        <w:trPr>
          <w:cantSplit/>
        </w:trPr>
        <w:tc>
          <w:tcPr>
            <w:tcW w:w="4344" w:type="dxa"/>
            <w:tcBorders>
              <w:top w:val="nil"/>
              <w:left w:val="nil"/>
              <w:bottom w:val="nil"/>
              <w:right w:val="nil"/>
            </w:tcBorders>
          </w:tcPr>
          <w:p w:rsidR="00F22941" w:rsidRPr="00227C94" w:rsidRDefault="00F22941" w:rsidP="00127D09">
            <w:pPr>
              <w:pStyle w:val="tblText02"/>
              <w:rPr>
                <w:w w:val="0"/>
                <w:lang w:val="en-US"/>
              </w:rPr>
            </w:pPr>
          </w:p>
        </w:tc>
        <w:tc>
          <w:tcPr>
            <w:tcW w:w="1559" w:type="dxa"/>
            <w:tcBorders>
              <w:top w:val="nil"/>
              <w:left w:val="nil"/>
              <w:bottom w:val="nil"/>
              <w:right w:val="nil"/>
            </w:tcBorders>
            <w:vAlign w:val="bottom"/>
          </w:tcPr>
          <w:p w:rsidR="00F22941" w:rsidRPr="00227C94" w:rsidRDefault="00F22941" w:rsidP="00127D09">
            <w:pPr>
              <w:pStyle w:val="tblNumber01"/>
            </w:pPr>
          </w:p>
        </w:tc>
        <w:tc>
          <w:tcPr>
            <w:tcW w:w="283" w:type="dxa"/>
            <w:tcBorders>
              <w:top w:val="nil"/>
              <w:left w:val="nil"/>
              <w:bottom w:val="nil"/>
              <w:right w:val="nil"/>
            </w:tcBorders>
            <w:vAlign w:val="bottom"/>
          </w:tcPr>
          <w:p w:rsidR="00F22941" w:rsidRPr="00227C94" w:rsidRDefault="00F22941" w:rsidP="00127D09">
            <w:pPr>
              <w:pStyle w:val="tblNumber01"/>
            </w:pPr>
          </w:p>
        </w:tc>
        <w:tc>
          <w:tcPr>
            <w:tcW w:w="1276" w:type="dxa"/>
            <w:tcBorders>
              <w:top w:val="nil"/>
              <w:left w:val="nil"/>
              <w:bottom w:val="nil"/>
              <w:right w:val="nil"/>
            </w:tcBorders>
            <w:vAlign w:val="bottom"/>
          </w:tcPr>
          <w:p w:rsidR="00F22941" w:rsidRPr="00227C94" w:rsidRDefault="00F22941" w:rsidP="00127D09">
            <w:pPr>
              <w:pStyle w:val="tblNumber01"/>
            </w:pPr>
          </w:p>
        </w:tc>
        <w:tc>
          <w:tcPr>
            <w:tcW w:w="284" w:type="dxa"/>
            <w:tcBorders>
              <w:top w:val="nil"/>
              <w:left w:val="nil"/>
              <w:bottom w:val="nil"/>
              <w:right w:val="nil"/>
            </w:tcBorders>
            <w:vAlign w:val="bottom"/>
          </w:tcPr>
          <w:p w:rsidR="00F22941" w:rsidRPr="00227C94" w:rsidRDefault="00F22941" w:rsidP="00127D09">
            <w:pPr>
              <w:pStyle w:val="tblNumber01"/>
              <w:rPr>
                <w:w w:val="0"/>
              </w:rPr>
            </w:pPr>
          </w:p>
        </w:tc>
        <w:tc>
          <w:tcPr>
            <w:tcW w:w="1276" w:type="dxa"/>
            <w:tcBorders>
              <w:top w:val="nil"/>
              <w:left w:val="nil"/>
              <w:bottom w:val="nil"/>
              <w:right w:val="nil"/>
            </w:tcBorders>
          </w:tcPr>
          <w:p w:rsidR="00F22941" w:rsidRPr="00227C94" w:rsidRDefault="00F22941" w:rsidP="00D526D9">
            <w:pPr>
              <w:pStyle w:val="tblText02"/>
              <w:jc w:val="right"/>
              <w:rPr>
                <w:spacing w:val="-2"/>
                <w:w w:val="0"/>
                <w:lang w:val="en-US"/>
              </w:rPr>
            </w:pPr>
          </w:p>
        </w:tc>
      </w:tr>
      <w:tr w:rsidR="00127D09" w:rsidRPr="00227C94" w:rsidTr="00D526D9">
        <w:trPr>
          <w:cantSplit/>
        </w:trPr>
        <w:tc>
          <w:tcPr>
            <w:tcW w:w="4344" w:type="dxa"/>
            <w:tcBorders>
              <w:top w:val="nil"/>
              <w:left w:val="nil"/>
              <w:bottom w:val="nil"/>
              <w:right w:val="nil"/>
            </w:tcBorders>
          </w:tcPr>
          <w:p w:rsidR="00127D09" w:rsidRPr="00227C94" w:rsidRDefault="00127D09" w:rsidP="00D526D9">
            <w:pPr>
              <w:pStyle w:val="tblText02"/>
              <w:ind w:left="0" w:firstLine="0"/>
              <w:rPr>
                <w:b/>
                <w:w w:val="0"/>
                <w:lang w:val="en-US"/>
              </w:rPr>
            </w:pPr>
            <w:r w:rsidRPr="00227C94">
              <w:rPr>
                <w:b/>
                <w:w w:val="0"/>
                <w:lang w:val="en-US"/>
              </w:rPr>
              <w:t>Equity investments in listed companies held for trading</w:t>
            </w:r>
          </w:p>
          <w:p w:rsidR="00D526D9" w:rsidRPr="00227C94" w:rsidRDefault="00B71A14" w:rsidP="00D526D9">
            <w:pPr>
              <w:pStyle w:val="tblText02"/>
              <w:ind w:left="0" w:firstLine="0"/>
              <w:rPr>
                <w:w w:val="0"/>
                <w:lang w:val="en-US"/>
              </w:rPr>
            </w:pPr>
            <w:r w:rsidRPr="00227C94">
              <w:rPr>
                <w:spacing w:val="-2"/>
                <w:w w:val="0"/>
                <w:lang w:val="en-US"/>
              </w:rPr>
              <w:t>R</w:t>
            </w:r>
            <w:r w:rsidR="00D526D9" w:rsidRPr="00227C94">
              <w:rPr>
                <w:spacing w:val="-2"/>
                <w:w w:val="0"/>
                <w:lang w:val="en-US"/>
              </w:rPr>
              <w:t>epresented by financial assets carried at fair value through profit and loss. During the first half of 2012, the Group disposed of USD6</w:t>
            </w:r>
            <w:proofErr w:type="gramStart"/>
            <w:r w:rsidR="00D526D9" w:rsidRPr="00227C94">
              <w:rPr>
                <w:spacing w:val="-2"/>
                <w:w w:val="0"/>
                <w:lang w:val="en-US"/>
              </w:rPr>
              <w:t>,645</w:t>
            </w:r>
            <w:proofErr w:type="gramEnd"/>
            <w:r w:rsidR="00D526D9" w:rsidRPr="00227C94">
              <w:rPr>
                <w:spacing w:val="-2"/>
                <w:w w:val="0"/>
                <w:lang w:val="en-US"/>
              </w:rPr>
              <w:t xml:space="preserve"> thousand of these investments. By the end of the reporting period, the fair value of held for trading investments increased by USD2</w:t>
            </w:r>
            <w:proofErr w:type="gramStart"/>
            <w:r w:rsidR="00D526D9" w:rsidRPr="00227C94">
              <w:rPr>
                <w:spacing w:val="-2"/>
                <w:w w:val="0"/>
                <w:lang w:val="en-US"/>
              </w:rPr>
              <w:t>,215</w:t>
            </w:r>
            <w:proofErr w:type="gramEnd"/>
            <w:r w:rsidR="00D526D9" w:rsidRPr="00227C94">
              <w:rPr>
                <w:spacing w:val="-2"/>
                <w:w w:val="0"/>
                <w:lang w:val="en-US"/>
              </w:rPr>
              <w:t xml:space="preserve"> thousand. </w:t>
            </w:r>
            <w:r w:rsidR="00D526D9" w:rsidRPr="00227C94">
              <w:rPr>
                <w:spacing w:val="-2"/>
                <w:w w:val="0"/>
              </w:rPr>
              <w:t>The balance of USD232 thousand relates to currency differences.</w:t>
            </w:r>
          </w:p>
        </w:tc>
        <w:tc>
          <w:tcPr>
            <w:tcW w:w="1559" w:type="dxa"/>
            <w:tcBorders>
              <w:top w:val="nil"/>
              <w:left w:val="nil"/>
              <w:bottom w:val="nil"/>
              <w:right w:val="nil"/>
            </w:tcBorders>
          </w:tcPr>
          <w:p w:rsidR="00127D09" w:rsidRPr="00227C94" w:rsidRDefault="00127D09" w:rsidP="00AB0610">
            <w:pPr>
              <w:pStyle w:val="tblNumber01"/>
            </w:pPr>
            <w:r w:rsidRPr="00227C94">
              <w:t>10,659</w:t>
            </w:r>
          </w:p>
        </w:tc>
        <w:tc>
          <w:tcPr>
            <w:tcW w:w="283" w:type="dxa"/>
            <w:tcBorders>
              <w:top w:val="nil"/>
              <w:left w:val="nil"/>
              <w:bottom w:val="nil"/>
              <w:right w:val="nil"/>
            </w:tcBorders>
          </w:tcPr>
          <w:p w:rsidR="00127D09" w:rsidRPr="00227C94" w:rsidRDefault="00127D09" w:rsidP="00AB0610">
            <w:pPr>
              <w:pStyle w:val="tblNumber01"/>
            </w:pPr>
          </w:p>
        </w:tc>
        <w:tc>
          <w:tcPr>
            <w:tcW w:w="1276" w:type="dxa"/>
            <w:tcBorders>
              <w:top w:val="nil"/>
              <w:left w:val="nil"/>
              <w:bottom w:val="nil"/>
              <w:right w:val="nil"/>
            </w:tcBorders>
          </w:tcPr>
          <w:p w:rsidR="00127D09" w:rsidRPr="00227C94" w:rsidRDefault="00127D09" w:rsidP="00AB0610">
            <w:pPr>
              <w:pStyle w:val="tblNumber01"/>
            </w:pPr>
            <w:r w:rsidRPr="00227C94">
              <w:t>14,857</w:t>
            </w:r>
          </w:p>
        </w:tc>
        <w:tc>
          <w:tcPr>
            <w:tcW w:w="284" w:type="dxa"/>
            <w:tcBorders>
              <w:top w:val="nil"/>
              <w:left w:val="nil"/>
              <w:bottom w:val="nil"/>
              <w:right w:val="nil"/>
            </w:tcBorders>
            <w:vAlign w:val="bottom"/>
          </w:tcPr>
          <w:p w:rsidR="00127D09" w:rsidRPr="00227C94" w:rsidRDefault="00127D09" w:rsidP="00127D09">
            <w:pPr>
              <w:pStyle w:val="tblNumber01"/>
              <w:rPr>
                <w:w w:val="0"/>
              </w:rPr>
            </w:pPr>
          </w:p>
        </w:tc>
        <w:tc>
          <w:tcPr>
            <w:tcW w:w="1276" w:type="dxa"/>
            <w:tcBorders>
              <w:top w:val="nil"/>
              <w:left w:val="nil"/>
              <w:bottom w:val="nil"/>
              <w:right w:val="nil"/>
            </w:tcBorders>
          </w:tcPr>
          <w:p w:rsidR="00127D09" w:rsidRPr="00227C94" w:rsidRDefault="00D526D9" w:rsidP="00D526D9">
            <w:pPr>
              <w:pStyle w:val="tblText02"/>
              <w:jc w:val="right"/>
              <w:rPr>
                <w:spacing w:val="-2"/>
                <w:w w:val="0"/>
                <w:lang w:val="en-GB"/>
              </w:rPr>
            </w:pPr>
            <w:r w:rsidRPr="00227C94">
              <w:rPr>
                <w:spacing w:val="-2"/>
                <w:w w:val="0"/>
                <w:lang w:val="en-GB"/>
              </w:rPr>
              <w:t>(28)</w:t>
            </w:r>
          </w:p>
        </w:tc>
      </w:tr>
      <w:tr w:rsidR="00F22941" w:rsidRPr="00227C94" w:rsidTr="00D526D9">
        <w:trPr>
          <w:cantSplit/>
        </w:trPr>
        <w:tc>
          <w:tcPr>
            <w:tcW w:w="4344" w:type="dxa"/>
            <w:tcBorders>
              <w:top w:val="nil"/>
              <w:left w:val="nil"/>
              <w:bottom w:val="nil"/>
              <w:right w:val="nil"/>
            </w:tcBorders>
          </w:tcPr>
          <w:p w:rsidR="00F22941" w:rsidRPr="00227C94" w:rsidRDefault="00F22941" w:rsidP="00127D09">
            <w:pPr>
              <w:pStyle w:val="tblText02"/>
              <w:rPr>
                <w:w w:val="0"/>
              </w:rPr>
            </w:pPr>
          </w:p>
        </w:tc>
        <w:tc>
          <w:tcPr>
            <w:tcW w:w="1559" w:type="dxa"/>
            <w:tcBorders>
              <w:top w:val="nil"/>
              <w:left w:val="nil"/>
              <w:right w:val="nil"/>
            </w:tcBorders>
            <w:vAlign w:val="bottom"/>
          </w:tcPr>
          <w:p w:rsidR="00F22941" w:rsidRPr="00227C94" w:rsidRDefault="00F22941" w:rsidP="00127D09">
            <w:pPr>
              <w:pStyle w:val="tblNumber01"/>
            </w:pPr>
          </w:p>
        </w:tc>
        <w:tc>
          <w:tcPr>
            <w:tcW w:w="283" w:type="dxa"/>
            <w:tcBorders>
              <w:top w:val="nil"/>
              <w:left w:val="nil"/>
              <w:bottom w:val="nil"/>
              <w:right w:val="nil"/>
            </w:tcBorders>
            <w:vAlign w:val="bottom"/>
          </w:tcPr>
          <w:p w:rsidR="00F22941" w:rsidRPr="00227C94" w:rsidRDefault="00F22941" w:rsidP="00127D09">
            <w:pPr>
              <w:pStyle w:val="tblNumber01"/>
            </w:pPr>
          </w:p>
        </w:tc>
        <w:tc>
          <w:tcPr>
            <w:tcW w:w="1276" w:type="dxa"/>
            <w:tcBorders>
              <w:top w:val="nil"/>
              <w:left w:val="nil"/>
              <w:right w:val="nil"/>
            </w:tcBorders>
            <w:vAlign w:val="bottom"/>
          </w:tcPr>
          <w:p w:rsidR="00F22941" w:rsidRPr="00227C94" w:rsidRDefault="00F22941" w:rsidP="00127D09">
            <w:pPr>
              <w:pStyle w:val="tblNumber01"/>
            </w:pPr>
          </w:p>
        </w:tc>
        <w:tc>
          <w:tcPr>
            <w:tcW w:w="284" w:type="dxa"/>
            <w:tcBorders>
              <w:top w:val="nil"/>
              <w:left w:val="nil"/>
              <w:bottom w:val="nil"/>
              <w:right w:val="nil"/>
            </w:tcBorders>
            <w:vAlign w:val="bottom"/>
          </w:tcPr>
          <w:p w:rsidR="00F22941" w:rsidRPr="00227C94" w:rsidRDefault="00F22941" w:rsidP="00127D09">
            <w:pPr>
              <w:pStyle w:val="tblNumber01"/>
              <w:rPr>
                <w:w w:val="0"/>
              </w:rPr>
            </w:pPr>
          </w:p>
        </w:tc>
        <w:tc>
          <w:tcPr>
            <w:tcW w:w="1276" w:type="dxa"/>
            <w:tcBorders>
              <w:top w:val="nil"/>
              <w:left w:val="nil"/>
              <w:bottom w:val="nil"/>
              <w:right w:val="nil"/>
            </w:tcBorders>
          </w:tcPr>
          <w:p w:rsidR="00F22941" w:rsidRPr="00227C94" w:rsidRDefault="00F22941" w:rsidP="00D526D9">
            <w:pPr>
              <w:pStyle w:val="tblText02"/>
              <w:jc w:val="right"/>
              <w:rPr>
                <w:w w:val="0"/>
                <w:lang w:val="en-US"/>
              </w:rPr>
            </w:pPr>
          </w:p>
        </w:tc>
      </w:tr>
      <w:tr w:rsidR="00127D09" w:rsidRPr="00227C94" w:rsidTr="00D526D9">
        <w:trPr>
          <w:cantSplit/>
        </w:trPr>
        <w:tc>
          <w:tcPr>
            <w:tcW w:w="4344" w:type="dxa"/>
            <w:tcBorders>
              <w:top w:val="nil"/>
              <w:left w:val="nil"/>
              <w:bottom w:val="nil"/>
              <w:right w:val="nil"/>
            </w:tcBorders>
          </w:tcPr>
          <w:p w:rsidR="00127D09" w:rsidRPr="00227C94" w:rsidRDefault="00127D09" w:rsidP="00127D09">
            <w:pPr>
              <w:pStyle w:val="tblText02"/>
              <w:rPr>
                <w:b/>
                <w:w w:val="0"/>
                <w:lang w:val="en-GB"/>
              </w:rPr>
            </w:pPr>
            <w:r w:rsidRPr="003B340C">
              <w:rPr>
                <w:b/>
                <w:w w:val="0"/>
                <w:lang w:val="en-GB"/>
              </w:rPr>
              <w:t>Bank deposits</w:t>
            </w:r>
          </w:p>
          <w:p w:rsidR="00D526D9" w:rsidRPr="00227C94" w:rsidRDefault="00D526D9" w:rsidP="00D526D9">
            <w:pPr>
              <w:pStyle w:val="tblText02"/>
              <w:ind w:left="0" w:firstLine="0"/>
              <w:rPr>
                <w:w w:val="0"/>
                <w:lang w:val="en-GB"/>
              </w:rPr>
            </w:pPr>
            <w:r w:rsidRPr="00227C94">
              <w:rPr>
                <w:w w:val="0"/>
                <w:lang w:val="en-US"/>
              </w:rPr>
              <w:t>In the reporting period, the Group deposited cash to bank accounts in the total amount of USD7</w:t>
            </w:r>
            <w:proofErr w:type="gramStart"/>
            <w:r w:rsidRPr="00227C94">
              <w:rPr>
                <w:w w:val="0"/>
                <w:lang w:val="en-US"/>
              </w:rPr>
              <w:t>,329</w:t>
            </w:r>
            <w:proofErr w:type="gramEnd"/>
            <w:r w:rsidRPr="00227C94">
              <w:rPr>
                <w:w w:val="0"/>
                <w:lang w:val="en-US"/>
              </w:rPr>
              <w:t xml:space="preserve"> thousand. Bank deposits are denominated in roubles and US dollars and bear interest of 6.7-9.0% per annum.</w:t>
            </w:r>
          </w:p>
        </w:tc>
        <w:tc>
          <w:tcPr>
            <w:tcW w:w="1559" w:type="dxa"/>
            <w:tcBorders>
              <w:top w:val="nil"/>
              <w:left w:val="nil"/>
              <w:right w:val="nil"/>
            </w:tcBorders>
          </w:tcPr>
          <w:p w:rsidR="00127D09" w:rsidRPr="00227C94" w:rsidRDefault="00127D09" w:rsidP="00AB0610">
            <w:pPr>
              <w:pStyle w:val="tblNumber01"/>
            </w:pPr>
            <w:r w:rsidRPr="00227C94">
              <w:t>19,504</w:t>
            </w:r>
          </w:p>
        </w:tc>
        <w:tc>
          <w:tcPr>
            <w:tcW w:w="283" w:type="dxa"/>
            <w:tcBorders>
              <w:top w:val="nil"/>
              <w:left w:val="nil"/>
              <w:bottom w:val="nil"/>
              <w:right w:val="nil"/>
            </w:tcBorders>
          </w:tcPr>
          <w:p w:rsidR="00127D09" w:rsidRPr="00227C94" w:rsidRDefault="00127D09" w:rsidP="00AB0610">
            <w:pPr>
              <w:pStyle w:val="tblNumber01"/>
            </w:pPr>
          </w:p>
        </w:tc>
        <w:tc>
          <w:tcPr>
            <w:tcW w:w="1276" w:type="dxa"/>
            <w:tcBorders>
              <w:top w:val="nil"/>
              <w:left w:val="nil"/>
              <w:right w:val="nil"/>
            </w:tcBorders>
          </w:tcPr>
          <w:p w:rsidR="00127D09" w:rsidRPr="00227C94" w:rsidRDefault="00127D09" w:rsidP="00AB0610">
            <w:pPr>
              <w:pStyle w:val="tblNumber01"/>
            </w:pPr>
            <w:r w:rsidRPr="00227C94">
              <w:t>12,175</w:t>
            </w:r>
          </w:p>
        </w:tc>
        <w:tc>
          <w:tcPr>
            <w:tcW w:w="284" w:type="dxa"/>
            <w:tcBorders>
              <w:top w:val="nil"/>
              <w:left w:val="nil"/>
              <w:bottom w:val="nil"/>
              <w:right w:val="nil"/>
            </w:tcBorders>
            <w:vAlign w:val="bottom"/>
          </w:tcPr>
          <w:p w:rsidR="00127D09" w:rsidRPr="00227C94" w:rsidRDefault="00127D09" w:rsidP="00127D09">
            <w:pPr>
              <w:pStyle w:val="tblNumber01"/>
              <w:rPr>
                <w:w w:val="0"/>
              </w:rPr>
            </w:pPr>
          </w:p>
        </w:tc>
        <w:tc>
          <w:tcPr>
            <w:tcW w:w="1276" w:type="dxa"/>
            <w:tcBorders>
              <w:top w:val="nil"/>
              <w:left w:val="nil"/>
              <w:bottom w:val="nil"/>
              <w:right w:val="nil"/>
            </w:tcBorders>
          </w:tcPr>
          <w:p w:rsidR="00127D09" w:rsidRPr="00227C94" w:rsidRDefault="00D526D9" w:rsidP="00D526D9">
            <w:pPr>
              <w:pStyle w:val="tblText02"/>
              <w:jc w:val="right"/>
              <w:rPr>
                <w:w w:val="0"/>
                <w:lang w:val="en-US"/>
              </w:rPr>
            </w:pPr>
            <w:r w:rsidRPr="00227C94">
              <w:rPr>
                <w:w w:val="0"/>
                <w:lang w:val="en-US"/>
              </w:rPr>
              <w:t>60</w:t>
            </w:r>
          </w:p>
        </w:tc>
      </w:tr>
      <w:tr w:rsidR="00D526D9" w:rsidRPr="00227C94" w:rsidTr="00D526D9">
        <w:trPr>
          <w:cantSplit/>
        </w:trPr>
        <w:tc>
          <w:tcPr>
            <w:tcW w:w="4344" w:type="dxa"/>
            <w:tcBorders>
              <w:top w:val="nil"/>
              <w:left w:val="nil"/>
              <w:bottom w:val="nil"/>
              <w:right w:val="nil"/>
            </w:tcBorders>
          </w:tcPr>
          <w:p w:rsidR="00D526D9" w:rsidRPr="00227C94" w:rsidRDefault="00D526D9" w:rsidP="00127D09">
            <w:pPr>
              <w:pStyle w:val="tblText02"/>
              <w:rPr>
                <w:w w:val="0"/>
              </w:rPr>
            </w:pPr>
          </w:p>
        </w:tc>
        <w:tc>
          <w:tcPr>
            <w:tcW w:w="1559" w:type="dxa"/>
            <w:tcBorders>
              <w:top w:val="nil"/>
              <w:left w:val="nil"/>
              <w:bottom w:val="single" w:sz="6" w:space="0" w:color="auto"/>
              <w:right w:val="nil"/>
            </w:tcBorders>
            <w:shd w:val="clear" w:color="auto" w:fill="auto"/>
            <w:vAlign w:val="bottom"/>
          </w:tcPr>
          <w:p w:rsidR="00D526D9" w:rsidRPr="00227C94" w:rsidRDefault="00D526D9" w:rsidP="00127D09">
            <w:pPr>
              <w:pStyle w:val="tblNumber01"/>
              <w:rPr>
                <w:w w:val="0"/>
              </w:rPr>
            </w:pPr>
          </w:p>
        </w:tc>
        <w:tc>
          <w:tcPr>
            <w:tcW w:w="283" w:type="dxa"/>
            <w:tcBorders>
              <w:top w:val="nil"/>
              <w:left w:val="nil"/>
              <w:bottom w:val="nil"/>
              <w:right w:val="nil"/>
            </w:tcBorders>
            <w:vAlign w:val="bottom"/>
          </w:tcPr>
          <w:p w:rsidR="00D526D9" w:rsidRPr="00227C94" w:rsidRDefault="00D526D9" w:rsidP="00127D09">
            <w:pPr>
              <w:pStyle w:val="tblNumber01"/>
              <w:rPr>
                <w:w w:val="0"/>
              </w:rPr>
            </w:pPr>
          </w:p>
        </w:tc>
        <w:tc>
          <w:tcPr>
            <w:tcW w:w="1276" w:type="dxa"/>
            <w:tcBorders>
              <w:top w:val="nil"/>
              <w:left w:val="nil"/>
              <w:bottom w:val="single" w:sz="6" w:space="0" w:color="auto"/>
              <w:right w:val="nil"/>
            </w:tcBorders>
            <w:shd w:val="clear" w:color="auto" w:fill="auto"/>
            <w:vAlign w:val="bottom"/>
          </w:tcPr>
          <w:p w:rsidR="00D526D9" w:rsidRPr="00227C94" w:rsidRDefault="00D526D9" w:rsidP="00127D09">
            <w:pPr>
              <w:pStyle w:val="tblNumber01"/>
              <w:rPr>
                <w:w w:val="0"/>
              </w:rPr>
            </w:pPr>
          </w:p>
        </w:tc>
        <w:tc>
          <w:tcPr>
            <w:tcW w:w="284" w:type="dxa"/>
            <w:tcBorders>
              <w:top w:val="nil"/>
              <w:left w:val="nil"/>
              <w:bottom w:val="nil"/>
              <w:right w:val="nil"/>
            </w:tcBorders>
            <w:vAlign w:val="bottom"/>
          </w:tcPr>
          <w:p w:rsidR="00D526D9" w:rsidRPr="00227C94" w:rsidRDefault="00D526D9" w:rsidP="00127D09">
            <w:pPr>
              <w:pStyle w:val="tblNumber01"/>
              <w:rPr>
                <w:w w:val="0"/>
              </w:rPr>
            </w:pPr>
          </w:p>
        </w:tc>
        <w:tc>
          <w:tcPr>
            <w:tcW w:w="1276" w:type="dxa"/>
            <w:tcBorders>
              <w:top w:val="nil"/>
              <w:left w:val="nil"/>
              <w:bottom w:val="single" w:sz="4" w:space="0" w:color="auto"/>
              <w:right w:val="nil"/>
            </w:tcBorders>
            <w:vAlign w:val="bottom"/>
          </w:tcPr>
          <w:p w:rsidR="00D526D9" w:rsidRPr="00227C94" w:rsidRDefault="00D526D9" w:rsidP="00D526D9">
            <w:pPr>
              <w:pStyle w:val="tblNumber01"/>
              <w:rPr>
                <w:w w:val="0"/>
              </w:rPr>
            </w:pPr>
          </w:p>
        </w:tc>
      </w:tr>
      <w:tr w:rsidR="00127D09" w:rsidRPr="00227C94" w:rsidTr="00D526D9">
        <w:trPr>
          <w:cantSplit/>
        </w:trPr>
        <w:tc>
          <w:tcPr>
            <w:tcW w:w="4344" w:type="dxa"/>
            <w:tcBorders>
              <w:top w:val="nil"/>
              <w:left w:val="nil"/>
              <w:bottom w:val="nil"/>
              <w:right w:val="nil"/>
            </w:tcBorders>
          </w:tcPr>
          <w:p w:rsidR="00127D09" w:rsidRPr="00227C94" w:rsidRDefault="00127D09" w:rsidP="00127D09">
            <w:pPr>
              <w:pStyle w:val="tblText02"/>
              <w:rPr>
                <w:b/>
                <w:w w:val="0"/>
              </w:rPr>
            </w:pPr>
            <w:r w:rsidRPr="00227C94">
              <w:rPr>
                <w:b/>
                <w:w w:val="0"/>
              </w:rPr>
              <w:t>Other</w:t>
            </w:r>
          </w:p>
        </w:tc>
        <w:tc>
          <w:tcPr>
            <w:tcW w:w="1559" w:type="dxa"/>
            <w:tcBorders>
              <w:top w:val="nil"/>
              <w:left w:val="nil"/>
              <w:bottom w:val="single" w:sz="6" w:space="0" w:color="auto"/>
              <w:right w:val="nil"/>
            </w:tcBorders>
            <w:shd w:val="clear" w:color="auto" w:fill="auto"/>
            <w:vAlign w:val="bottom"/>
          </w:tcPr>
          <w:p w:rsidR="00127D09" w:rsidRPr="00227C94" w:rsidRDefault="00127D09" w:rsidP="00127D09">
            <w:pPr>
              <w:pStyle w:val="tblNumber01"/>
              <w:rPr>
                <w:w w:val="0"/>
              </w:rPr>
            </w:pPr>
            <w:r w:rsidRPr="00227C94">
              <w:rPr>
                <w:w w:val="0"/>
              </w:rPr>
              <w:t>591</w:t>
            </w:r>
          </w:p>
        </w:tc>
        <w:tc>
          <w:tcPr>
            <w:tcW w:w="283" w:type="dxa"/>
            <w:tcBorders>
              <w:top w:val="nil"/>
              <w:left w:val="nil"/>
              <w:bottom w:val="nil"/>
              <w:right w:val="nil"/>
            </w:tcBorders>
            <w:vAlign w:val="bottom"/>
          </w:tcPr>
          <w:p w:rsidR="00127D09" w:rsidRPr="00227C94" w:rsidRDefault="00127D09" w:rsidP="00127D09">
            <w:pPr>
              <w:pStyle w:val="tblNumber01"/>
              <w:rPr>
                <w:w w:val="0"/>
              </w:rPr>
            </w:pPr>
          </w:p>
        </w:tc>
        <w:tc>
          <w:tcPr>
            <w:tcW w:w="1276" w:type="dxa"/>
            <w:tcBorders>
              <w:top w:val="nil"/>
              <w:left w:val="nil"/>
              <w:bottom w:val="single" w:sz="6" w:space="0" w:color="auto"/>
              <w:right w:val="nil"/>
            </w:tcBorders>
            <w:shd w:val="clear" w:color="auto" w:fill="auto"/>
            <w:vAlign w:val="bottom"/>
          </w:tcPr>
          <w:p w:rsidR="00127D09" w:rsidRPr="00227C94" w:rsidRDefault="00127D09" w:rsidP="00127D09">
            <w:pPr>
              <w:pStyle w:val="tblNumber01"/>
              <w:rPr>
                <w:w w:val="0"/>
              </w:rPr>
            </w:pPr>
            <w:r w:rsidRPr="00227C94">
              <w:rPr>
                <w:w w:val="0"/>
              </w:rPr>
              <w:t>1,692</w:t>
            </w:r>
          </w:p>
        </w:tc>
        <w:tc>
          <w:tcPr>
            <w:tcW w:w="284" w:type="dxa"/>
            <w:tcBorders>
              <w:top w:val="nil"/>
              <w:left w:val="nil"/>
              <w:bottom w:val="nil"/>
              <w:right w:val="nil"/>
            </w:tcBorders>
            <w:vAlign w:val="bottom"/>
          </w:tcPr>
          <w:p w:rsidR="00127D09" w:rsidRPr="00227C94" w:rsidRDefault="00127D09" w:rsidP="00127D09">
            <w:pPr>
              <w:pStyle w:val="tblNumber01"/>
              <w:rPr>
                <w:w w:val="0"/>
              </w:rPr>
            </w:pPr>
          </w:p>
        </w:tc>
        <w:tc>
          <w:tcPr>
            <w:tcW w:w="1276" w:type="dxa"/>
            <w:tcBorders>
              <w:top w:val="single" w:sz="4" w:space="0" w:color="auto"/>
              <w:left w:val="nil"/>
              <w:bottom w:val="single" w:sz="4" w:space="0" w:color="auto"/>
              <w:right w:val="nil"/>
            </w:tcBorders>
            <w:vAlign w:val="bottom"/>
          </w:tcPr>
          <w:p w:rsidR="00127D09" w:rsidRPr="00227C94" w:rsidRDefault="00D526D9" w:rsidP="00D526D9">
            <w:pPr>
              <w:pStyle w:val="tblNumber01"/>
              <w:rPr>
                <w:w w:val="0"/>
                <w:lang w:val="en-GB"/>
              </w:rPr>
            </w:pPr>
            <w:r w:rsidRPr="00227C94">
              <w:rPr>
                <w:w w:val="0"/>
                <w:lang w:val="en-GB"/>
              </w:rPr>
              <w:t>(65)</w:t>
            </w:r>
          </w:p>
        </w:tc>
      </w:tr>
      <w:tr w:rsidR="00127D09" w:rsidRPr="00227C94" w:rsidTr="00D526D9">
        <w:trPr>
          <w:cantSplit/>
        </w:trPr>
        <w:tc>
          <w:tcPr>
            <w:tcW w:w="4344" w:type="dxa"/>
            <w:tcBorders>
              <w:top w:val="nil"/>
              <w:left w:val="nil"/>
              <w:bottom w:val="nil"/>
              <w:right w:val="nil"/>
            </w:tcBorders>
          </w:tcPr>
          <w:p w:rsidR="00127D09" w:rsidRPr="00227C94" w:rsidRDefault="00127D09" w:rsidP="00127D09">
            <w:pPr>
              <w:pStyle w:val="tblText02"/>
              <w:rPr>
                <w:w w:val="0"/>
              </w:rPr>
            </w:pPr>
          </w:p>
        </w:tc>
        <w:tc>
          <w:tcPr>
            <w:tcW w:w="1559" w:type="dxa"/>
            <w:tcBorders>
              <w:top w:val="single" w:sz="6" w:space="0" w:color="auto"/>
              <w:left w:val="nil"/>
              <w:right w:val="nil"/>
            </w:tcBorders>
            <w:shd w:val="clear" w:color="auto" w:fill="auto"/>
            <w:vAlign w:val="bottom"/>
          </w:tcPr>
          <w:p w:rsidR="00127D09" w:rsidRPr="00227C94" w:rsidRDefault="00127D09" w:rsidP="00127D09">
            <w:pPr>
              <w:pStyle w:val="tblNumber01"/>
              <w:rPr>
                <w:w w:val="0"/>
              </w:rPr>
            </w:pPr>
          </w:p>
        </w:tc>
        <w:tc>
          <w:tcPr>
            <w:tcW w:w="283" w:type="dxa"/>
            <w:tcBorders>
              <w:top w:val="nil"/>
              <w:left w:val="nil"/>
              <w:bottom w:val="nil"/>
              <w:right w:val="nil"/>
            </w:tcBorders>
            <w:vAlign w:val="bottom"/>
          </w:tcPr>
          <w:p w:rsidR="00127D09" w:rsidRPr="00227C94" w:rsidRDefault="00127D09" w:rsidP="00127D09">
            <w:pPr>
              <w:pStyle w:val="tblNumber01"/>
              <w:rPr>
                <w:w w:val="0"/>
              </w:rPr>
            </w:pPr>
          </w:p>
        </w:tc>
        <w:tc>
          <w:tcPr>
            <w:tcW w:w="1276" w:type="dxa"/>
            <w:tcBorders>
              <w:top w:val="single" w:sz="6" w:space="0" w:color="auto"/>
              <w:left w:val="nil"/>
              <w:right w:val="nil"/>
            </w:tcBorders>
            <w:shd w:val="clear" w:color="auto" w:fill="auto"/>
            <w:vAlign w:val="bottom"/>
          </w:tcPr>
          <w:p w:rsidR="00127D09" w:rsidRPr="00227C94" w:rsidRDefault="00127D09" w:rsidP="00127D09">
            <w:pPr>
              <w:pStyle w:val="tblNumber01"/>
              <w:rPr>
                <w:w w:val="0"/>
              </w:rPr>
            </w:pPr>
          </w:p>
        </w:tc>
        <w:tc>
          <w:tcPr>
            <w:tcW w:w="284" w:type="dxa"/>
            <w:tcBorders>
              <w:top w:val="nil"/>
              <w:left w:val="nil"/>
              <w:bottom w:val="nil"/>
              <w:right w:val="nil"/>
            </w:tcBorders>
            <w:vAlign w:val="bottom"/>
          </w:tcPr>
          <w:p w:rsidR="00127D09" w:rsidRPr="00227C94" w:rsidRDefault="00127D09" w:rsidP="00127D09">
            <w:pPr>
              <w:pStyle w:val="tblNumber01"/>
              <w:rPr>
                <w:w w:val="0"/>
              </w:rPr>
            </w:pPr>
          </w:p>
        </w:tc>
        <w:tc>
          <w:tcPr>
            <w:tcW w:w="1276" w:type="dxa"/>
            <w:tcBorders>
              <w:top w:val="single" w:sz="4" w:space="0" w:color="auto"/>
              <w:left w:val="nil"/>
              <w:right w:val="nil"/>
            </w:tcBorders>
            <w:vAlign w:val="bottom"/>
          </w:tcPr>
          <w:p w:rsidR="00127D09" w:rsidRPr="00227C94" w:rsidRDefault="00127D09" w:rsidP="00D526D9">
            <w:pPr>
              <w:pStyle w:val="tblNumber01"/>
              <w:rPr>
                <w:w w:val="0"/>
              </w:rPr>
            </w:pPr>
          </w:p>
        </w:tc>
      </w:tr>
      <w:tr w:rsidR="00127D09" w:rsidRPr="00227C94" w:rsidTr="00D526D9">
        <w:trPr>
          <w:cantSplit/>
        </w:trPr>
        <w:tc>
          <w:tcPr>
            <w:tcW w:w="4344" w:type="dxa"/>
            <w:tcBorders>
              <w:top w:val="nil"/>
              <w:left w:val="nil"/>
              <w:bottom w:val="nil"/>
              <w:right w:val="nil"/>
            </w:tcBorders>
          </w:tcPr>
          <w:p w:rsidR="00127D09" w:rsidRPr="00227C94" w:rsidRDefault="00127D09" w:rsidP="00127D09">
            <w:pPr>
              <w:pStyle w:val="tblText02"/>
              <w:rPr>
                <w:b/>
                <w:w w:val="0"/>
                <w:lang w:val="en-US"/>
              </w:rPr>
            </w:pPr>
            <w:r w:rsidRPr="00227C94">
              <w:rPr>
                <w:b/>
                <w:w w:val="0"/>
                <w:lang w:val="en-US"/>
              </w:rPr>
              <w:t>Total investments in securities and other financial assets:</w:t>
            </w:r>
          </w:p>
        </w:tc>
        <w:tc>
          <w:tcPr>
            <w:tcW w:w="1559" w:type="dxa"/>
            <w:tcBorders>
              <w:top w:val="nil"/>
              <w:left w:val="nil"/>
              <w:bottom w:val="double" w:sz="6" w:space="0" w:color="auto"/>
              <w:right w:val="nil"/>
            </w:tcBorders>
            <w:shd w:val="clear" w:color="auto" w:fill="auto"/>
            <w:vAlign w:val="bottom"/>
          </w:tcPr>
          <w:p w:rsidR="00127D09" w:rsidRPr="00227C94" w:rsidRDefault="00127D09" w:rsidP="00127D09">
            <w:pPr>
              <w:pStyle w:val="tblNumber01"/>
              <w:rPr>
                <w:b/>
                <w:w w:val="0"/>
              </w:rPr>
            </w:pPr>
            <w:r w:rsidRPr="00227C94">
              <w:rPr>
                <w:b/>
                <w:w w:val="0"/>
              </w:rPr>
              <w:t>63,707</w:t>
            </w:r>
          </w:p>
        </w:tc>
        <w:tc>
          <w:tcPr>
            <w:tcW w:w="283" w:type="dxa"/>
            <w:tcBorders>
              <w:top w:val="nil"/>
              <w:left w:val="nil"/>
              <w:bottom w:val="nil"/>
              <w:right w:val="nil"/>
            </w:tcBorders>
            <w:vAlign w:val="bottom"/>
          </w:tcPr>
          <w:p w:rsidR="00127D09" w:rsidRPr="00227C94" w:rsidRDefault="00127D09" w:rsidP="00127D09">
            <w:pPr>
              <w:pStyle w:val="tblNumber01"/>
              <w:rPr>
                <w:w w:val="0"/>
              </w:rPr>
            </w:pPr>
          </w:p>
        </w:tc>
        <w:tc>
          <w:tcPr>
            <w:tcW w:w="1276" w:type="dxa"/>
            <w:tcBorders>
              <w:top w:val="nil"/>
              <w:left w:val="nil"/>
              <w:bottom w:val="double" w:sz="6" w:space="0" w:color="auto"/>
              <w:right w:val="nil"/>
            </w:tcBorders>
            <w:shd w:val="clear" w:color="auto" w:fill="auto"/>
            <w:vAlign w:val="bottom"/>
          </w:tcPr>
          <w:p w:rsidR="00127D09" w:rsidRPr="00227C94" w:rsidRDefault="00127D09" w:rsidP="00127D09">
            <w:pPr>
              <w:pStyle w:val="tblNumber01"/>
              <w:rPr>
                <w:b/>
                <w:w w:val="0"/>
              </w:rPr>
            </w:pPr>
            <w:r w:rsidRPr="00227C94">
              <w:rPr>
                <w:b/>
                <w:w w:val="0"/>
              </w:rPr>
              <w:t>63,468</w:t>
            </w:r>
          </w:p>
        </w:tc>
        <w:tc>
          <w:tcPr>
            <w:tcW w:w="284" w:type="dxa"/>
            <w:tcBorders>
              <w:top w:val="nil"/>
              <w:left w:val="nil"/>
              <w:bottom w:val="nil"/>
              <w:right w:val="nil"/>
            </w:tcBorders>
            <w:vAlign w:val="bottom"/>
          </w:tcPr>
          <w:p w:rsidR="00127D09" w:rsidRPr="00227C94" w:rsidRDefault="00127D09" w:rsidP="00127D09">
            <w:pPr>
              <w:pStyle w:val="tblNumber01"/>
              <w:rPr>
                <w:w w:val="0"/>
              </w:rPr>
            </w:pPr>
          </w:p>
        </w:tc>
        <w:tc>
          <w:tcPr>
            <w:tcW w:w="1276" w:type="dxa"/>
            <w:tcBorders>
              <w:top w:val="nil"/>
              <w:left w:val="nil"/>
              <w:bottom w:val="double" w:sz="4" w:space="0" w:color="auto"/>
              <w:right w:val="nil"/>
            </w:tcBorders>
            <w:vAlign w:val="bottom"/>
          </w:tcPr>
          <w:p w:rsidR="00127D09" w:rsidRPr="00227C94" w:rsidRDefault="00D526D9" w:rsidP="00D526D9">
            <w:pPr>
              <w:pStyle w:val="tblNumber01"/>
              <w:rPr>
                <w:w w:val="0"/>
                <w:lang w:val="en-GB"/>
              </w:rPr>
            </w:pPr>
            <w:r w:rsidRPr="00227C94">
              <w:rPr>
                <w:w w:val="0"/>
                <w:lang w:val="en-GB"/>
              </w:rPr>
              <w:t>-</w:t>
            </w:r>
          </w:p>
        </w:tc>
      </w:tr>
    </w:tbl>
    <w:p w:rsidR="00916675" w:rsidRPr="00227C94" w:rsidRDefault="00916675" w:rsidP="00127D09">
      <w:pPr>
        <w:pStyle w:val="23"/>
        <w:rPr>
          <w:color w:val="auto"/>
          <w:w w:val="0"/>
          <w:lang w:val="en-US"/>
        </w:rPr>
      </w:pPr>
    </w:p>
    <w:p w:rsidR="00916675" w:rsidRPr="00227C94" w:rsidRDefault="00916675" w:rsidP="00127D09">
      <w:pPr>
        <w:pStyle w:val="31"/>
        <w:rPr>
          <w:b w:val="0"/>
          <w:w w:val="0"/>
          <w:lang w:val="en-US"/>
        </w:rPr>
      </w:pPr>
      <w:bookmarkStart w:id="329" w:name="_DV_M338"/>
      <w:bookmarkEnd w:id="329"/>
      <w:r w:rsidRPr="00227C94">
        <w:rPr>
          <w:b w:val="0"/>
          <w:w w:val="0"/>
        </w:rPr>
        <w:t>Cash and cash equivalents</w:t>
      </w:r>
    </w:p>
    <w:p w:rsidR="00127D09" w:rsidRPr="00227C94" w:rsidRDefault="00127D09" w:rsidP="00127D09">
      <w:pPr>
        <w:pStyle w:val="23"/>
        <w:rPr>
          <w:color w:val="auto"/>
          <w:lang w:val="en-US"/>
        </w:rPr>
      </w:pPr>
    </w:p>
    <w:p w:rsidR="00916675" w:rsidRPr="00227C94" w:rsidRDefault="00916675" w:rsidP="00127D09">
      <w:pPr>
        <w:pStyle w:val="23"/>
        <w:rPr>
          <w:color w:val="auto"/>
          <w:spacing w:val="-2"/>
          <w:w w:val="0"/>
          <w:lang w:val="en-US"/>
        </w:rPr>
      </w:pPr>
      <w:bookmarkStart w:id="330" w:name="_DV_M339"/>
      <w:bookmarkEnd w:id="330"/>
      <w:r w:rsidRPr="00227C94">
        <w:rPr>
          <w:color w:val="auto"/>
          <w:w w:val="0"/>
          <w:lang w:val="en-US"/>
        </w:rPr>
        <w:t>At 30 June 2012, the balance of cash and cash equivalents amounted to USD847</w:t>
      </w:r>
      <w:proofErr w:type="gramStart"/>
      <w:r w:rsidRPr="00227C94">
        <w:rPr>
          <w:color w:val="auto"/>
          <w:w w:val="0"/>
          <w:lang w:val="en-US"/>
        </w:rPr>
        <w:t>,954</w:t>
      </w:r>
      <w:proofErr w:type="gramEnd"/>
      <w:r w:rsidRPr="00227C94">
        <w:rPr>
          <w:color w:val="auto"/>
          <w:w w:val="0"/>
          <w:lang w:val="en-US"/>
        </w:rPr>
        <w:t xml:space="preserve"> thousand, </w:t>
      </w:r>
      <w:r w:rsidR="00127D09" w:rsidRPr="00227C94">
        <w:rPr>
          <w:color w:val="auto"/>
          <w:w w:val="0"/>
          <w:lang w:val="en-US"/>
        </w:rPr>
        <w:br/>
      </w:r>
      <w:r w:rsidRPr="00227C94">
        <w:rPr>
          <w:color w:val="auto"/>
          <w:spacing w:val="-2"/>
          <w:w w:val="0"/>
          <w:lang w:val="en-US"/>
        </w:rPr>
        <w:t>an increase of 29% as compared to 31 December 2011 due to the strong operating cash inflow during the period.</w:t>
      </w:r>
    </w:p>
    <w:p w:rsidR="00127D09" w:rsidRPr="00227C94" w:rsidRDefault="00127D09" w:rsidP="00127D09">
      <w:pPr>
        <w:pStyle w:val="23"/>
        <w:rPr>
          <w:color w:val="auto"/>
          <w:w w:val="0"/>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127D09" w:rsidRPr="00227C94" w:rsidTr="00A701F4">
        <w:trPr>
          <w:cantSplit/>
        </w:trPr>
        <w:tc>
          <w:tcPr>
            <w:tcW w:w="4118" w:type="dxa"/>
            <w:tcBorders>
              <w:top w:val="nil"/>
              <w:left w:val="nil"/>
              <w:bottom w:val="nil"/>
              <w:right w:val="nil"/>
            </w:tcBorders>
            <w:vAlign w:val="bottom"/>
          </w:tcPr>
          <w:p w:rsidR="00127D09" w:rsidRPr="00227C94" w:rsidRDefault="00127D09" w:rsidP="00127D09">
            <w:pPr>
              <w:pStyle w:val="tblHeaderText"/>
              <w:jc w:val="left"/>
              <w:rPr>
                <w:w w:val="0"/>
              </w:rPr>
            </w:pPr>
            <w:r w:rsidRPr="00227C94">
              <w:rPr>
                <w:w w:val="0"/>
              </w:rPr>
              <w:t>USD‘000</w:t>
            </w:r>
          </w:p>
        </w:tc>
        <w:tc>
          <w:tcPr>
            <w:tcW w:w="1417" w:type="dxa"/>
            <w:tcBorders>
              <w:top w:val="nil"/>
              <w:left w:val="nil"/>
              <w:bottom w:val="single" w:sz="6" w:space="0" w:color="auto"/>
              <w:right w:val="nil"/>
            </w:tcBorders>
            <w:shd w:val="clear" w:color="auto" w:fill="auto"/>
            <w:vAlign w:val="bottom"/>
          </w:tcPr>
          <w:p w:rsidR="007B330D" w:rsidRPr="00227C94" w:rsidRDefault="00127D09" w:rsidP="00B71A14">
            <w:pPr>
              <w:pStyle w:val="tblHeaderText"/>
              <w:rPr>
                <w:w w:val="0"/>
              </w:rPr>
            </w:pPr>
            <w:r w:rsidRPr="00227C94">
              <w:rPr>
                <w:w w:val="0"/>
              </w:rPr>
              <w:t>30 June</w:t>
            </w:r>
          </w:p>
          <w:p w:rsidR="00127D09" w:rsidRPr="00227C94" w:rsidRDefault="00127D09" w:rsidP="00127D09">
            <w:pPr>
              <w:pStyle w:val="tblHeaderText"/>
              <w:rPr>
                <w:w w:val="0"/>
              </w:rPr>
            </w:pPr>
            <w:r w:rsidRPr="00227C94">
              <w:rPr>
                <w:w w:val="0"/>
              </w:rPr>
              <w:t>2012</w:t>
            </w:r>
          </w:p>
        </w:tc>
        <w:tc>
          <w:tcPr>
            <w:tcW w:w="283" w:type="dxa"/>
            <w:tcBorders>
              <w:top w:val="nil"/>
              <w:left w:val="nil"/>
              <w:bottom w:val="nil"/>
              <w:right w:val="nil"/>
            </w:tcBorders>
            <w:vAlign w:val="bottom"/>
          </w:tcPr>
          <w:p w:rsidR="00127D09" w:rsidRPr="00227C94" w:rsidRDefault="00127D09" w:rsidP="00127D09">
            <w:pPr>
              <w:pStyle w:val="tblHeaderText"/>
              <w:rPr>
                <w:w w:val="0"/>
              </w:rPr>
            </w:pPr>
          </w:p>
        </w:tc>
        <w:tc>
          <w:tcPr>
            <w:tcW w:w="1417" w:type="dxa"/>
            <w:tcBorders>
              <w:top w:val="nil"/>
              <w:left w:val="nil"/>
              <w:bottom w:val="single" w:sz="6" w:space="0" w:color="auto"/>
              <w:right w:val="nil"/>
            </w:tcBorders>
            <w:shd w:val="clear" w:color="auto" w:fill="auto"/>
            <w:vAlign w:val="bottom"/>
          </w:tcPr>
          <w:p w:rsidR="00127D09" w:rsidRPr="00227C94" w:rsidRDefault="00127D09" w:rsidP="00B71A14">
            <w:pPr>
              <w:pStyle w:val="tblHeaderText"/>
              <w:rPr>
                <w:w w:val="0"/>
              </w:rPr>
            </w:pPr>
            <w:r w:rsidRPr="00227C94">
              <w:rPr>
                <w:w w:val="0"/>
              </w:rPr>
              <w:t>31 December 2011</w:t>
            </w:r>
          </w:p>
        </w:tc>
        <w:tc>
          <w:tcPr>
            <w:tcW w:w="283" w:type="dxa"/>
            <w:tcBorders>
              <w:top w:val="nil"/>
              <w:left w:val="nil"/>
              <w:bottom w:val="nil"/>
              <w:right w:val="nil"/>
            </w:tcBorders>
            <w:vAlign w:val="bottom"/>
          </w:tcPr>
          <w:p w:rsidR="00127D09" w:rsidRPr="00227C94" w:rsidRDefault="00127D09" w:rsidP="00127D09">
            <w:pPr>
              <w:pStyle w:val="tblHeaderText"/>
              <w:rPr>
                <w:w w:val="0"/>
              </w:rPr>
            </w:pPr>
          </w:p>
        </w:tc>
        <w:tc>
          <w:tcPr>
            <w:tcW w:w="1417" w:type="dxa"/>
            <w:tcBorders>
              <w:top w:val="nil"/>
              <w:left w:val="nil"/>
              <w:bottom w:val="single" w:sz="6" w:space="0" w:color="auto"/>
              <w:right w:val="nil"/>
            </w:tcBorders>
            <w:shd w:val="clear" w:color="auto" w:fill="auto"/>
            <w:vAlign w:val="bottom"/>
          </w:tcPr>
          <w:p w:rsidR="007B330D" w:rsidRPr="00227C94" w:rsidRDefault="007B330D" w:rsidP="00127D09">
            <w:pPr>
              <w:pStyle w:val="tblHeaderText"/>
              <w:rPr>
                <w:w w:val="0"/>
                <w:lang w:val="en-US"/>
              </w:rPr>
            </w:pPr>
            <w:r w:rsidRPr="00227C94">
              <w:rPr>
                <w:w w:val="0"/>
                <w:lang w:val="en-US"/>
              </w:rPr>
              <w:t>%</w:t>
            </w:r>
          </w:p>
          <w:p w:rsidR="00127D09" w:rsidRPr="00227C94" w:rsidRDefault="00F22941" w:rsidP="00127D09">
            <w:pPr>
              <w:pStyle w:val="tblHeaderText"/>
              <w:rPr>
                <w:w w:val="0"/>
                <w:lang w:val="en-US"/>
              </w:rPr>
            </w:pPr>
            <w:r w:rsidRPr="00227C94">
              <w:rPr>
                <w:w w:val="0"/>
                <w:lang w:val="en-GB"/>
              </w:rPr>
              <w:t>c</w:t>
            </w:r>
            <w:r w:rsidR="00127D09" w:rsidRPr="00227C94">
              <w:rPr>
                <w:w w:val="0"/>
              </w:rPr>
              <w:t>hange</w:t>
            </w:r>
          </w:p>
        </w:tc>
      </w:tr>
      <w:tr w:rsidR="00127D09" w:rsidRPr="00227C94" w:rsidTr="00A701F4">
        <w:trPr>
          <w:cantSplit/>
        </w:trPr>
        <w:tc>
          <w:tcPr>
            <w:tcW w:w="4118" w:type="dxa"/>
            <w:tcBorders>
              <w:top w:val="nil"/>
              <w:left w:val="nil"/>
              <w:bottom w:val="nil"/>
              <w:right w:val="nil"/>
            </w:tcBorders>
          </w:tcPr>
          <w:p w:rsidR="00127D09" w:rsidRPr="00227C94" w:rsidRDefault="00127D09" w:rsidP="00127D09">
            <w:pPr>
              <w:pStyle w:val="tblHeaderText"/>
              <w:jc w:val="left"/>
              <w:rPr>
                <w:w w:val="0"/>
              </w:rPr>
            </w:pPr>
          </w:p>
        </w:tc>
        <w:tc>
          <w:tcPr>
            <w:tcW w:w="1417" w:type="dxa"/>
            <w:tcBorders>
              <w:top w:val="single" w:sz="6" w:space="0" w:color="auto"/>
              <w:left w:val="nil"/>
              <w:bottom w:val="nil"/>
              <w:right w:val="nil"/>
            </w:tcBorders>
            <w:shd w:val="clear" w:color="auto" w:fill="auto"/>
          </w:tcPr>
          <w:p w:rsidR="00127D09" w:rsidRPr="00227C94" w:rsidRDefault="00127D09" w:rsidP="00127D09">
            <w:pPr>
              <w:pStyle w:val="tblHeaderText"/>
              <w:rPr>
                <w:w w:val="0"/>
              </w:rPr>
            </w:pPr>
          </w:p>
        </w:tc>
        <w:tc>
          <w:tcPr>
            <w:tcW w:w="283" w:type="dxa"/>
            <w:tcBorders>
              <w:top w:val="nil"/>
              <w:left w:val="nil"/>
              <w:bottom w:val="nil"/>
              <w:right w:val="nil"/>
            </w:tcBorders>
          </w:tcPr>
          <w:p w:rsidR="00127D09" w:rsidRPr="00227C94" w:rsidRDefault="00127D09" w:rsidP="00127D09">
            <w:pPr>
              <w:pStyle w:val="tblHeaderText"/>
              <w:rPr>
                <w:w w:val="0"/>
              </w:rPr>
            </w:pPr>
          </w:p>
        </w:tc>
        <w:tc>
          <w:tcPr>
            <w:tcW w:w="1417" w:type="dxa"/>
            <w:tcBorders>
              <w:top w:val="single" w:sz="6" w:space="0" w:color="auto"/>
              <w:left w:val="nil"/>
              <w:bottom w:val="nil"/>
              <w:right w:val="nil"/>
            </w:tcBorders>
            <w:shd w:val="clear" w:color="auto" w:fill="auto"/>
          </w:tcPr>
          <w:p w:rsidR="00127D09" w:rsidRPr="00227C94" w:rsidRDefault="00127D09" w:rsidP="00127D09">
            <w:pPr>
              <w:pStyle w:val="tblHeaderText"/>
              <w:rPr>
                <w:w w:val="0"/>
              </w:rPr>
            </w:pPr>
          </w:p>
        </w:tc>
        <w:tc>
          <w:tcPr>
            <w:tcW w:w="283" w:type="dxa"/>
            <w:tcBorders>
              <w:top w:val="nil"/>
              <w:left w:val="nil"/>
              <w:bottom w:val="nil"/>
              <w:right w:val="nil"/>
            </w:tcBorders>
          </w:tcPr>
          <w:p w:rsidR="00127D09" w:rsidRPr="00227C94" w:rsidRDefault="00127D09" w:rsidP="00127D09">
            <w:pPr>
              <w:pStyle w:val="tblHeaderText"/>
              <w:rPr>
                <w:w w:val="0"/>
              </w:rPr>
            </w:pPr>
          </w:p>
        </w:tc>
        <w:tc>
          <w:tcPr>
            <w:tcW w:w="1417" w:type="dxa"/>
            <w:tcBorders>
              <w:top w:val="single" w:sz="6" w:space="0" w:color="auto"/>
              <w:left w:val="nil"/>
              <w:bottom w:val="nil"/>
              <w:right w:val="nil"/>
            </w:tcBorders>
            <w:shd w:val="clear" w:color="auto" w:fill="auto"/>
          </w:tcPr>
          <w:p w:rsidR="00127D09" w:rsidRPr="00227C94" w:rsidRDefault="00127D09" w:rsidP="00127D09">
            <w:pPr>
              <w:pStyle w:val="tblHeaderText"/>
              <w:rPr>
                <w:w w:val="0"/>
              </w:rPr>
            </w:pPr>
          </w:p>
        </w:tc>
      </w:tr>
      <w:tr w:rsidR="00127D09" w:rsidRPr="00227C94" w:rsidTr="00127D09">
        <w:trPr>
          <w:cantSplit/>
        </w:trPr>
        <w:tc>
          <w:tcPr>
            <w:tcW w:w="4118" w:type="dxa"/>
            <w:tcBorders>
              <w:top w:val="nil"/>
              <w:left w:val="nil"/>
              <w:bottom w:val="nil"/>
              <w:right w:val="nil"/>
            </w:tcBorders>
            <w:vAlign w:val="bottom"/>
          </w:tcPr>
          <w:p w:rsidR="00127D09" w:rsidRPr="00227C94" w:rsidRDefault="00127D09" w:rsidP="00127D09">
            <w:pPr>
              <w:pStyle w:val="tblText02"/>
            </w:pPr>
            <w:r w:rsidRPr="00227C94">
              <w:t>Bank deposits</w:t>
            </w:r>
          </w:p>
        </w:tc>
        <w:tc>
          <w:tcPr>
            <w:tcW w:w="1417" w:type="dxa"/>
            <w:tcBorders>
              <w:top w:val="nil"/>
              <w:left w:val="nil"/>
              <w:bottom w:val="nil"/>
              <w:right w:val="nil"/>
            </w:tcBorders>
            <w:vAlign w:val="bottom"/>
          </w:tcPr>
          <w:p w:rsidR="00127D09" w:rsidRPr="00227C94" w:rsidRDefault="00127D09" w:rsidP="00127D09">
            <w:pPr>
              <w:pStyle w:val="tblNumber01"/>
            </w:pPr>
            <w:r w:rsidRPr="00227C94">
              <w:t>524,802</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1"/>
            </w:pPr>
            <w:r w:rsidRPr="00227C94">
              <w:t>487,467</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1"/>
            </w:pPr>
            <w:r w:rsidRPr="00227C94">
              <w:t>8</w:t>
            </w:r>
          </w:p>
        </w:tc>
      </w:tr>
      <w:tr w:rsidR="00127D09" w:rsidRPr="00227C94" w:rsidTr="00127D09">
        <w:trPr>
          <w:cantSplit/>
        </w:trPr>
        <w:tc>
          <w:tcPr>
            <w:tcW w:w="4118" w:type="dxa"/>
            <w:tcBorders>
              <w:top w:val="nil"/>
              <w:left w:val="nil"/>
              <w:bottom w:val="nil"/>
              <w:right w:val="nil"/>
            </w:tcBorders>
            <w:vAlign w:val="bottom"/>
          </w:tcPr>
          <w:p w:rsidR="00127D09" w:rsidRPr="00227C94" w:rsidRDefault="00127D09" w:rsidP="00127D09">
            <w:pPr>
              <w:pStyle w:val="tblText02"/>
            </w:pPr>
            <w:r w:rsidRPr="00227C94">
              <w:t>Current accounts</w:t>
            </w:r>
          </w:p>
        </w:tc>
        <w:tc>
          <w:tcPr>
            <w:tcW w:w="1417" w:type="dxa"/>
            <w:tcBorders>
              <w:top w:val="nil"/>
              <w:left w:val="nil"/>
              <w:bottom w:val="nil"/>
              <w:right w:val="nil"/>
            </w:tcBorders>
            <w:vAlign w:val="bottom"/>
          </w:tcPr>
          <w:p w:rsidR="00127D09" w:rsidRPr="00227C94" w:rsidRDefault="00127D09" w:rsidP="00127D09">
            <w:pPr>
              <w:pStyle w:val="tblNumber01"/>
            </w:pP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1"/>
            </w:pP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1"/>
            </w:pPr>
          </w:p>
        </w:tc>
      </w:tr>
      <w:tr w:rsidR="00127D09" w:rsidRPr="00227C94" w:rsidTr="00127D09">
        <w:trPr>
          <w:cantSplit/>
        </w:trPr>
        <w:tc>
          <w:tcPr>
            <w:tcW w:w="4118" w:type="dxa"/>
            <w:tcBorders>
              <w:top w:val="nil"/>
              <w:left w:val="nil"/>
              <w:bottom w:val="nil"/>
              <w:right w:val="nil"/>
            </w:tcBorders>
            <w:vAlign w:val="bottom"/>
          </w:tcPr>
          <w:p w:rsidR="00127D09" w:rsidRPr="00227C94" w:rsidRDefault="00127D09" w:rsidP="00127D09">
            <w:pPr>
              <w:pStyle w:val="tblText05"/>
            </w:pPr>
            <w:r w:rsidRPr="00227C94">
              <w:t>RUB</w:t>
            </w:r>
          </w:p>
        </w:tc>
        <w:tc>
          <w:tcPr>
            <w:tcW w:w="1417" w:type="dxa"/>
            <w:tcBorders>
              <w:top w:val="nil"/>
              <w:left w:val="nil"/>
              <w:bottom w:val="nil"/>
              <w:right w:val="nil"/>
            </w:tcBorders>
            <w:vAlign w:val="bottom"/>
          </w:tcPr>
          <w:p w:rsidR="00127D09" w:rsidRPr="00227C94" w:rsidRDefault="00127D09" w:rsidP="00127D09">
            <w:pPr>
              <w:pStyle w:val="tblNumber01"/>
            </w:pPr>
            <w:r w:rsidRPr="00227C94">
              <w:t>106,616</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1"/>
            </w:pPr>
            <w:r w:rsidRPr="00227C94">
              <w:t>146,761</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0"/>
            </w:pPr>
            <w:r w:rsidRPr="00227C94">
              <w:t>(27)</w:t>
            </w:r>
          </w:p>
        </w:tc>
      </w:tr>
      <w:tr w:rsidR="00127D09" w:rsidRPr="00227C94" w:rsidTr="00127D09">
        <w:trPr>
          <w:cantSplit/>
        </w:trPr>
        <w:tc>
          <w:tcPr>
            <w:tcW w:w="4118" w:type="dxa"/>
            <w:tcBorders>
              <w:top w:val="nil"/>
              <w:left w:val="nil"/>
              <w:bottom w:val="nil"/>
              <w:right w:val="nil"/>
            </w:tcBorders>
            <w:vAlign w:val="bottom"/>
          </w:tcPr>
          <w:p w:rsidR="00127D09" w:rsidRPr="00227C94" w:rsidRDefault="00127D09" w:rsidP="00127D09">
            <w:pPr>
              <w:pStyle w:val="tblText05"/>
            </w:pPr>
            <w:r w:rsidRPr="00227C94">
              <w:t>other currencies</w:t>
            </w:r>
          </w:p>
        </w:tc>
        <w:tc>
          <w:tcPr>
            <w:tcW w:w="1417" w:type="dxa"/>
            <w:tcBorders>
              <w:top w:val="nil"/>
              <w:left w:val="nil"/>
              <w:bottom w:val="nil"/>
              <w:right w:val="nil"/>
            </w:tcBorders>
            <w:vAlign w:val="bottom"/>
          </w:tcPr>
          <w:p w:rsidR="00127D09" w:rsidRPr="00227C94" w:rsidRDefault="00127D09" w:rsidP="00127D09">
            <w:pPr>
              <w:pStyle w:val="tblNumber01"/>
            </w:pPr>
            <w:r w:rsidRPr="00227C94">
              <w:t>215,880</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1"/>
            </w:pPr>
            <w:r w:rsidRPr="00227C94">
              <w:t>21,992</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1"/>
            </w:pPr>
            <w:r w:rsidRPr="00227C94">
              <w:t>882</w:t>
            </w:r>
          </w:p>
        </w:tc>
      </w:tr>
      <w:tr w:rsidR="00127D09" w:rsidRPr="00227C94" w:rsidTr="00127D09">
        <w:trPr>
          <w:cantSplit/>
        </w:trPr>
        <w:tc>
          <w:tcPr>
            <w:tcW w:w="4118" w:type="dxa"/>
            <w:tcBorders>
              <w:top w:val="nil"/>
              <w:left w:val="nil"/>
              <w:bottom w:val="nil"/>
              <w:right w:val="nil"/>
            </w:tcBorders>
            <w:vAlign w:val="bottom"/>
          </w:tcPr>
          <w:p w:rsidR="00127D09" w:rsidRPr="00227C94" w:rsidRDefault="00127D09" w:rsidP="00127D09">
            <w:pPr>
              <w:pStyle w:val="tblText02"/>
            </w:pPr>
            <w:r w:rsidRPr="00227C94">
              <w:t>Other cash</w:t>
            </w:r>
          </w:p>
        </w:tc>
        <w:tc>
          <w:tcPr>
            <w:tcW w:w="1417" w:type="dxa"/>
            <w:tcBorders>
              <w:top w:val="nil"/>
              <w:left w:val="nil"/>
              <w:bottom w:val="nil"/>
              <w:right w:val="nil"/>
            </w:tcBorders>
            <w:vAlign w:val="bottom"/>
          </w:tcPr>
          <w:p w:rsidR="00127D09" w:rsidRPr="00227C94" w:rsidRDefault="00127D09" w:rsidP="00127D09">
            <w:pPr>
              <w:pStyle w:val="tblNumber01"/>
            </w:pPr>
            <w:r w:rsidRPr="00227C94">
              <w:t>656</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1"/>
            </w:pPr>
            <w:r w:rsidRPr="00227C94">
              <w:t>1,228</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0"/>
            </w:pPr>
            <w:r w:rsidRPr="00227C94">
              <w:t>(47)</w:t>
            </w:r>
          </w:p>
        </w:tc>
      </w:tr>
    </w:tbl>
    <w:p w:rsidR="00916675" w:rsidRPr="00227C94" w:rsidRDefault="00916675" w:rsidP="00127D09">
      <w:pPr>
        <w:pStyle w:val="23"/>
        <w:rPr>
          <w:color w:val="auto"/>
          <w:w w:val="0"/>
          <w:lang w:val="en-US"/>
        </w:rPr>
      </w:pPr>
    </w:p>
    <w:p w:rsidR="00916675" w:rsidRPr="00227C94" w:rsidRDefault="00916675" w:rsidP="00127D09">
      <w:pPr>
        <w:pStyle w:val="23"/>
        <w:rPr>
          <w:color w:val="auto"/>
          <w:w w:val="0"/>
          <w:lang w:val="en-GB"/>
        </w:rPr>
      </w:pPr>
      <w:r w:rsidRPr="00227C94">
        <w:rPr>
          <w:color w:val="auto"/>
          <w:w w:val="0"/>
          <w:lang w:val="en-US"/>
        </w:rPr>
        <w:t>Bank deposits increased by 8% from USD487</w:t>
      </w:r>
      <w:proofErr w:type="gramStart"/>
      <w:r w:rsidRPr="00227C94">
        <w:rPr>
          <w:color w:val="auto"/>
          <w:w w:val="0"/>
          <w:lang w:val="en-US"/>
        </w:rPr>
        <w:t>,467</w:t>
      </w:r>
      <w:proofErr w:type="gramEnd"/>
      <w:r w:rsidRPr="00227C94">
        <w:rPr>
          <w:color w:val="auto"/>
          <w:w w:val="0"/>
          <w:lang w:val="en-US"/>
        </w:rPr>
        <w:t xml:space="preserve"> thousand at the beginning of the reporting period to USD524,802 as of June 30,2012. </w:t>
      </w:r>
      <w:r w:rsidRPr="00227C94">
        <w:rPr>
          <w:color w:val="auto"/>
          <w:w w:val="0"/>
          <w:lang w:val="en-GB"/>
        </w:rPr>
        <w:t>The increase primarily relates to the Krasnoyarsk business unit.</w:t>
      </w:r>
    </w:p>
    <w:p w:rsidR="00916675" w:rsidRPr="00227C94" w:rsidRDefault="00916675" w:rsidP="005A3237">
      <w:pPr>
        <w:pStyle w:val="23"/>
        <w:rPr>
          <w:color w:val="auto"/>
          <w:lang w:val="en-GB"/>
        </w:rPr>
      </w:pPr>
    </w:p>
    <w:p w:rsidR="00916675" w:rsidRPr="00227C94" w:rsidRDefault="00916675" w:rsidP="00127D09">
      <w:pPr>
        <w:pStyle w:val="22"/>
        <w:rPr>
          <w:w w:val="0"/>
          <w:lang w:val="en-US"/>
        </w:rPr>
      </w:pPr>
      <w:bookmarkStart w:id="331" w:name="_DV_M340"/>
      <w:bookmarkEnd w:id="331"/>
      <w:r w:rsidRPr="00227C94">
        <w:rPr>
          <w:w w:val="0"/>
        </w:rPr>
        <w:t>4.1.2 Equity and liabilities</w:t>
      </w:r>
    </w:p>
    <w:p w:rsidR="00127D09" w:rsidRPr="00227C94" w:rsidRDefault="00127D09" w:rsidP="00127D09">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127D09" w:rsidRPr="00227C94" w:rsidTr="00A701F4">
        <w:trPr>
          <w:cantSplit/>
        </w:trPr>
        <w:tc>
          <w:tcPr>
            <w:tcW w:w="4118" w:type="dxa"/>
            <w:tcBorders>
              <w:top w:val="nil"/>
              <w:left w:val="nil"/>
              <w:bottom w:val="nil"/>
              <w:right w:val="nil"/>
            </w:tcBorders>
            <w:vAlign w:val="bottom"/>
          </w:tcPr>
          <w:p w:rsidR="00127D09" w:rsidRPr="00227C94" w:rsidRDefault="00127D09" w:rsidP="00127D09">
            <w:pPr>
              <w:pStyle w:val="tblHeaderText"/>
              <w:jc w:val="left"/>
              <w:rPr>
                <w:w w:val="0"/>
              </w:rPr>
            </w:pPr>
            <w:bookmarkStart w:id="332" w:name="_DV_M341"/>
            <w:bookmarkEnd w:id="332"/>
            <w:r w:rsidRPr="00227C94">
              <w:rPr>
                <w:w w:val="0"/>
              </w:rPr>
              <w:t>USD‘000</w:t>
            </w:r>
          </w:p>
        </w:tc>
        <w:tc>
          <w:tcPr>
            <w:tcW w:w="1417" w:type="dxa"/>
            <w:tcBorders>
              <w:top w:val="nil"/>
              <w:left w:val="nil"/>
              <w:bottom w:val="single" w:sz="6" w:space="0" w:color="auto"/>
              <w:right w:val="nil"/>
            </w:tcBorders>
            <w:shd w:val="clear" w:color="auto" w:fill="auto"/>
            <w:vAlign w:val="bottom"/>
          </w:tcPr>
          <w:p w:rsidR="007B330D" w:rsidRPr="00227C94" w:rsidRDefault="00127D09" w:rsidP="00B71A14">
            <w:pPr>
              <w:pStyle w:val="tblHeaderText"/>
              <w:rPr>
                <w:w w:val="0"/>
              </w:rPr>
            </w:pPr>
            <w:r w:rsidRPr="00227C94">
              <w:rPr>
                <w:w w:val="0"/>
              </w:rPr>
              <w:t>30 June</w:t>
            </w:r>
          </w:p>
          <w:p w:rsidR="00127D09" w:rsidRPr="00227C94" w:rsidRDefault="00127D09" w:rsidP="00127D09">
            <w:pPr>
              <w:pStyle w:val="tblHeaderText"/>
              <w:rPr>
                <w:w w:val="0"/>
              </w:rPr>
            </w:pPr>
            <w:r w:rsidRPr="00227C94">
              <w:rPr>
                <w:w w:val="0"/>
              </w:rPr>
              <w:t>2012</w:t>
            </w:r>
          </w:p>
        </w:tc>
        <w:tc>
          <w:tcPr>
            <w:tcW w:w="283" w:type="dxa"/>
            <w:tcBorders>
              <w:top w:val="nil"/>
              <w:left w:val="nil"/>
              <w:bottom w:val="nil"/>
              <w:right w:val="nil"/>
            </w:tcBorders>
            <w:vAlign w:val="bottom"/>
          </w:tcPr>
          <w:p w:rsidR="00127D09" w:rsidRPr="00227C94" w:rsidRDefault="00127D09" w:rsidP="00127D09">
            <w:pPr>
              <w:pStyle w:val="tblHeaderText"/>
              <w:rPr>
                <w:w w:val="0"/>
              </w:rPr>
            </w:pPr>
          </w:p>
        </w:tc>
        <w:tc>
          <w:tcPr>
            <w:tcW w:w="1417" w:type="dxa"/>
            <w:tcBorders>
              <w:top w:val="nil"/>
              <w:left w:val="nil"/>
              <w:bottom w:val="single" w:sz="6" w:space="0" w:color="auto"/>
              <w:right w:val="nil"/>
            </w:tcBorders>
            <w:shd w:val="clear" w:color="auto" w:fill="auto"/>
            <w:vAlign w:val="bottom"/>
          </w:tcPr>
          <w:p w:rsidR="00127D09" w:rsidRPr="00227C94" w:rsidRDefault="00127D09" w:rsidP="00B71A14">
            <w:pPr>
              <w:pStyle w:val="tblHeaderText"/>
              <w:rPr>
                <w:w w:val="0"/>
              </w:rPr>
            </w:pPr>
            <w:r w:rsidRPr="00227C94">
              <w:rPr>
                <w:w w:val="0"/>
              </w:rPr>
              <w:t>31 December 2011</w:t>
            </w:r>
          </w:p>
        </w:tc>
        <w:tc>
          <w:tcPr>
            <w:tcW w:w="283" w:type="dxa"/>
            <w:tcBorders>
              <w:top w:val="nil"/>
              <w:left w:val="nil"/>
              <w:bottom w:val="nil"/>
              <w:right w:val="nil"/>
            </w:tcBorders>
            <w:vAlign w:val="bottom"/>
          </w:tcPr>
          <w:p w:rsidR="00127D09" w:rsidRPr="00227C94" w:rsidRDefault="00127D09" w:rsidP="00127D09">
            <w:pPr>
              <w:pStyle w:val="tblHeaderText"/>
              <w:rPr>
                <w:w w:val="0"/>
              </w:rPr>
            </w:pPr>
          </w:p>
        </w:tc>
        <w:tc>
          <w:tcPr>
            <w:tcW w:w="1417" w:type="dxa"/>
            <w:tcBorders>
              <w:top w:val="nil"/>
              <w:left w:val="nil"/>
              <w:bottom w:val="single" w:sz="6" w:space="0" w:color="auto"/>
              <w:right w:val="nil"/>
            </w:tcBorders>
            <w:shd w:val="clear" w:color="auto" w:fill="auto"/>
            <w:vAlign w:val="bottom"/>
          </w:tcPr>
          <w:p w:rsidR="007B330D" w:rsidRPr="00227C94" w:rsidRDefault="007B330D" w:rsidP="00127D09">
            <w:pPr>
              <w:pStyle w:val="tblHeaderText"/>
              <w:rPr>
                <w:w w:val="0"/>
                <w:lang w:val="en-US"/>
              </w:rPr>
            </w:pPr>
            <w:r w:rsidRPr="00227C94">
              <w:rPr>
                <w:w w:val="0"/>
                <w:lang w:val="en-US"/>
              </w:rPr>
              <w:t>%</w:t>
            </w:r>
          </w:p>
          <w:p w:rsidR="00127D09" w:rsidRPr="00227C94" w:rsidRDefault="00F22941" w:rsidP="00127D09">
            <w:pPr>
              <w:pStyle w:val="tblHeaderText"/>
              <w:rPr>
                <w:w w:val="0"/>
                <w:lang w:val="en-US"/>
              </w:rPr>
            </w:pPr>
            <w:r w:rsidRPr="00227C94">
              <w:rPr>
                <w:w w:val="0"/>
                <w:lang w:val="en-GB"/>
              </w:rPr>
              <w:t>c</w:t>
            </w:r>
            <w:r w:rsidR="00127D09" w:rsidRPr="00227C94">
              <w:rPr>
                <w:w w:val="0"/>
              </w:rPr>
              <w:t>hange</w:t>
            </w:r>
          </w:p>
        </w:tc>
      </w:tr>
      <w:tr w:rsidR="00127D09" w:rsidRPr="00227C94" w:rsidTr="00A701F4">
        <w:trPr>
          <w:cantSplit/>
        </w:trPr>
        <w:tc>
          <w:tcPr>
            <w:tcW w:w="4118" w:type="dxa"/>
            <w:tcBorders>
              <w:top w:val="nil"/>
              <w:left w:val="nil"/>
              <w:bottom w:val="nil"/>
              <w:right w:val="nil"/>
            </w:tcBorders>
          </w:tcPr>
          <w:p w:rsidR="00127D09" w:rsidRPr="00227C94" w:rsidRDefault="00127D09" w:rsidP="00127D09">
            <w:pPr>
              <w:pStyle w:val="tblHeaderText"/>
              <w:jc w:val="left"/>
              <w:rPr>
                <w:w w:val="0"/>
              </w:rPr>
            </w:pPr>
          </w:p>
        </w:tc>
        <w:tc>
          <w:tcPr>
            <w:tcW w:w="1417" w:type="dxa"/>
            <w:tcBorders>
              <w:top w:val="single" w:sz="6" w:space="0" w:color="auto"/>
              <w:left w:val="nil"/>
              <w:bottom w:val="nil"/>
              <w:right w:val="nil"/>
            </w:tcBorders>
            <w:shd w:val="clear" w:color="auto" w:fill="auto"/>
          </w:tcPr>
          <w:p w:rsidR="00127D09" w:rsidRPr="00227C94" w:rsidRDefault="00127D09" w:rsidP="00127D09">
            <w:pPr>
              <w:pStyle w:val="tblHeaderText"/>
              <w:rPr>
                <w:w w:val="0"/>
              </w:rPr>
            </w:pPr>
          </w:p>
        </w:tc>
        <w:tc>
          <w:tcPr>
            <w:tcW w:w="283" w:type="dxa"/>
            <w:tcBorders>
              <w:top w:val="nil"/>
              <w:left w:val="nil"/>
              <w:bottom w:val="nil"/>
              <w:right w:val="nil"/>
            </w:tcBorders>
          </w:tcPr>
          <w:p w:rsidR="00127D09" w:rsidRPr="00227C94" w:rsidRDefault="00127D09" w:rsidP="00127D09">
            <w:pPr>
              <w:pStyle w:val="tblHeaderText"/>
              <w:rPr>
                <w:w w:val="0"/>
              </w:rPr>
            </w:pPr>
          </w:p>
        </w:tc>
        <w:tc>
          <w:tcPr>
            <w:tcW w:w="1417" w:type="dxa"/>
            <w:tcBorders>
              <w:top w:val="single" w:sz="6" w:space="0" w:color="auto"/>
              <w:left w:val="nil"/>
              <w:bottom w:val="nil"/>
              <w:right w:val="nil"/>
            </w:tcBorders>
            <w:shd w:val="clear" w:color="auto" w:fill="auto"/>
          </w:tcPr>
          <w:p w:rsidR="00127D09" w:rsidRPr="00227C94" w:rsidRDefault="00127D09" w:rsidP="00127D09">
            <w:pPr>
              <w:pStyle w:val="tblHeaderText"/>
              <w:rPr>
                <w:w w:val="0"/>
              </w:rPr>
            </w:pPr>
          </w:p>
        </w:tc>
        <w:tc>
          <w:tcPr>
            <w:tcW w:w="283" w:type="dxa"/>
            <w:tcBorders>
              <w:top w:val="nil"/>
              <w:left w:val="nil"/>
              <w:bottom w:val="nil"/>
              <w:right w:val="nil"/>
            </w:tcBorders>
          </w:tcPr>
          <w:p w:rsidR="00127D09" w:rsidRPr="00227C94" w:rsidRDefault="00127D09" w:rsidP="00127D09">
            <w:pPr>
              <w:pStyle w:val="tblHeaderText"/>
              <w:rPr>
                <w:w w:val="0"/>
              </w:rPr>
            </w:pPr>
          </w:p>
        </w:tc>
        <w:tc>
          <w:tcPr>
            <w:tcW w:w="1417" w:type="dxa"/>
            <w:tcBorders>
              <w:top w:val="single" w:sz="6" w:space="0" w:color="auto"/>
              <w:left w:val="nil"/>
              <w:bottom w:val="nil"/>
              <w:right w:val="nil"/>
            </w:tcBorders>
            <w:shd w:val="clear" w:color="auto" w:fill="auto"/>
          </w:tcPr>
          <w:p w:rsidR="00127D09" w:rsidRPr="00227C94" w:rsidRDefault="00127D09" w:rsidP="00127D09">
            <w:pPr>
              <w:pStyle w:val="tblHeaderText"/>
              <w:rPr>
                <w:w w:val="0"/>
              </w:rPr>
            </w:pPr>
          </w:p>
        </w:tc>
      </w:tr>
      <w:tr w:rsidR="00127D09" w:rsidRPr="00227C94" w:rsidTr="00127D09">
        <w:trPr>
          <w:cantSplit/>
        </w:trPr>
        <w:tc>
          <w:tcPr>
            <w:tcW w:w="4118" w:type="dxa"/>
            <w:tcBorders>
              <w:top w:val="nil"/>
              <w:left w:val="nil"/>
              <w:bottom w:val="nil"/>
              <w:right w:val="nil"/>
            </w:tcBorders>
            <w:vAlign w:val="bottom"/>
          </w:tcPr>
          <w:p w:rsidR="00127D09" w:rsidRPr="00227C94" w:rsidRDefault="00127D09" w:rsidP="00127D09">
            <w:pPr>
              <w:pStyle w:val="tblText02"/>
            </w:pPr>
            <w:r w:rsidRPr="00227C94">
              <w:t>Share capital</w:t>
            </w:r>
          </w:p>
        </w:tc>
        <w:tc>
          <w:tcPr>
            <w:tcW w:w="1417" w:type="dxa"/>
            <w:tcBorders>
              <w:top w:val="nil"/>
              <w:left w:val="nil"/>
              <w:bottom w:val="nil"/>
              <w:right w:val="nil"/>
            </w:tcBorders>
            <w:vAlign w:val="bottom"/>
          </w:tcPr>
          <w:p w:rsidR="00127D09" w:rsidRPr="00227C94" w:rsidRDefault="00127D09" w:rsidP="00127D09">
            <w:pPr>
              <w:pStyle w:val="tblNumber01"/>
            </w:pPr>
            <w:r w:rsidRPr="00227C94">
              <w:t>482</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1"/>
            </w:pPr>
            <w:r w:rsidRPr="00227C94">
              <w:t>482</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Dash"/>
            </w:pPr>
            <w:r w:rsidRPr="00227C94">
              <w:t>-</w:t>
            </w:r>
          </w:p>
        </w:tc>
      </w:tr>
      <w:tr w:rsidR="00127D09" w:rsidRPr="00227C94" w:rsidTr="00127D09">
        <w:trPr>
          <w:cantSplit/>
        </w:trPr>
        <w:tc>
          <w:tcPr>
            <w:tcW w:w="4118" w:type="dxa"/>
            <w:tcBorders>
              <w:top w:val="nil"/>
              <w:left w:val="nil"/>
              <w:bottom w:val="nil"/>
              <w:right w:val="nil"/>
            </w:tcBorders>
            <w:vAlign w:val="bottom"/>
          </w:tcPr>
          <w:p w:rsidR="00127D09" w:rsidRPr="00227C94" w:rsidRDefault="00127D09" w:rsidP="00127D09">
            <w:pPr>
              <w:pStyle w:val="tblText02"/>
            </w:pPr>
            <w:r w:rsidRPr="00227C94">
              <w:t>Additional paid-in capital</w:t>
            </w:r>
          </w:p>
        </w:tc>
        <w:tc>
          <w:tcPr>
            <w:tcW w:w="1417" w:type="dxa"/>
            <w:tcBorders>
              <w:top w:val="nil"/>
              <w:left w:val="nil"/>
              <w:bottom w:val="nil"/>
              <w:right w:val="nil"/>
            </w:tcBorders>
            <w:vAlign w:val="bottom"/>
          </w:tcPr>
          <w:p w:rsidR="00127D09" w:rsidRPr="00227C94" w:rsidRDefault="00127D09" w:rsidP="00127D09">
            <w:pPr>
              <w:pStyle w:val="tblNumber01"/>
            </w:pPr>
            <w:r w:rsidRPr="00227C94">
              <w:t>2,151,765</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1"/>
            </w:pPr>
            <w:r w:rsidRPr="00227C94">
              <w:t>2,189,240</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0"/>
            </w:pPr>
            <w:r w:rsidRPr="00227C94">
              <w:t>(2)</w:t>
            </w:r>
          </w:p>
        </w:tc>
      </w:tr>
      <w:tr w:rsidR="00127D09" w:rsidRPr="00227C94" w:rsidTr="00127D09">
        <w:trPr>
          <w:cantSplit/>
        </w:trPr>
        <w:tc>
          <w:tcPr>
            <w:tcW w:w="4118" w:type="dxa"/>
            <w:tcBorders>
              <w:top w:val="nil"/>
              <w:left w:val="nil"/>
              <w:bottom w:val="nil"/>
              <w:right w:val="nil"/>
            </w:tcBorders>
            <w:vAlign w:val="bottom"/>
          </w:tcPr>
          <w:p w:rsidR="00127D09" w:rsidRPr="00227C94" w:rsidRDefault="00127D09" w:rsidP="00127D09">
            <w:pPr>
              <w:pStyle w:val="tblText02"/>
            </w:pPr>
            <w:r w:rsidRPr="00227C94">
              <w:t>Treasury shares</w:t>
            </w:r>
          </w:p>
        </w:tc>
        <w:tc>
          <w:tcPr>
            <w:tcW w:w="1417" w:type="dxa"/>
            <w:tcBorders>
              <w:top w:val="nil"/>
              <w:left w:val="nil"/>
              <w:bottom w:val="nil"/>
              <w:right w:val="nil"/>
            </w:tcBorders>
            <w:vAlign w:val="bottom"/>
          </w:tcPr>
          <w:p w:rsidR="00127D09" w:rsidRPr="00227C94" w:rsidRDefault="00127D09" w:rsidP="00127D09">
            <w:pPr>
              <w:pStyle w:val="tblNumberDash"/>
            </w:pPr>
            <w:r w:rsidRPr="00227C94">
              <w:t>-</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0"/>
            </w:pPr>
            <w:r w:rsidRPr="00227C94">
              <w:t>(765,013)</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0"/>
            </w:pPr>
            <w:r w:rsidRPr="00227C94">
              <w:t>(100)</w:t>
            </w:r>
          </w:p>
        </w:tc>
      </w:tr>
      <w:tr w:rsidR="00127D09" w:rsidRPr="00227C94" w:rsidTr="00127D09">
        <w:trPr>
          <w:cantSplit/>
        </w:trPr>
        <w:tc>
          <w:tcPr>
            <w:tcW w:w="4118" w:type="dxa"/>
            <w:tcBorders>
              <w:top w:val="nil"/>
              <w:left w:val="nil"/>
              <w:bottom w:val="nil"/>
              <w:right w:val="nil"/>
            </w:tcBorders>
            <w:vAlign w:val="bottom"/>
          </w:tcPr>
          <w:p w:rsidR="00127D09" w:rsidRPr="00227C94" w:rsidRDefault="00127D09" w:rsidP="00127D09">
            <w:pPr>
              <w:pStyle w:val="tblText02"/>
            </w:pPr>
            <w:r w:rsidRPr="00227C94">
              <w:t>Investments revaluation reserve</w:t>
            </w:r>
          </w:p>
        </w:tc>
        <w:tc>
          <w:tcPr>
            <w:tcW w:w="1417" w:type="dxa"/>
            <w:tcBorders>
              <w:top w:val="nil"/>
              <w:left w:val="nil"/>
              <w:bottom w:val="nil"/>
              <w:right w:val="nil"/>
            </w:tcBorders>
            <w:vAlign w:val="bottom"/>
          </w:tcPr>
          <w:p w:rsidR="00127D09" w:rsidRPr="00227C94" w:rsidRDefault="00127D09" w:rsidP="00127D09">
            <w:pPr>
              <w:pStyle w:val="tblNumber01"/>
            </w:pPr>
            <w:r w:rsidRPr="00227C94">
              <w:t>2,766</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1"/>
            </w:pPr>
            <w:r w:rsidRPr="00227C94">
              <w:t>4,557</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0"/>
            </w:pPr>
            <w:r w:rsidRPr="00227C94">
              <w:t>(39)</w:t>
            </w:r>
          </w:p>
        </w:tc>
      </w:tr>
      <w:tr w:rsidR="00127D09" w:rsidRPr="00227C94" w:rsidTr="00127D09">
        <w:trPr>
          <w:cantSplit/>
        </w:trPr>
        <w:tc>
          <w:tcPr>
            <w:tcW w:w="4118" w:type="dxa"/>
            <w:tcBorders>
              <w:top w:val="nil"/>
              <w:left w:val="nil"/>
              <w:bottom w:val="nil"/>
              <w:right w:val="nil"/>
            </w:tcBorders>
            <w:vAlign w:val="bottom"/>
          </w:tcPr>
          <w:p w:rsidR="00127D09" w:rsidRPr="00227C94" w:rsidRDefault="00127D09" w:rsidP="00127D09">
            <w:pPr>
              <w:pStyle w:val="tblText02"/>
            </w:pPr>
            <w:r w:rsidRPr="00227C94">
              <w:t>Translation reserve</w:t>
            </w:r>
          </w:p>
        </w:tc>
        <w:tc>
          <w:tcPr>
            <w:tcW w:w="1417" w:type="dxa"/>
            <w:tcBorders>
              <w:top w:val="nil"/>
              <w:left w:val="nil"/>
              <w:bottom w:val="nil"/>
              <w:right w:val="nil"/>
            </w:tcBorders>
            <w:vAlign w:val="bottom"/>
          </w:tcPr>
          <w:p w:rsidR="00127D09" w:rsidRPr="00227C94" w:rsidRDefault="00127D09" w:rsidP="00127D09">
            <w:pPr>
              <w:pStyle w:val="tblNumber00"/>
            </w:pPr>
            <w:r w:rsidRPr="00227C94">
              <w:t>(343,885)</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0"/>
            </w:pPr>
            <w:r w:rsidRPr="00227C94">
              <w:t>(258,426)</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1"/>
            </w:pPr>
            <w:r w:rsidRPr="00227C94">
              <w:t>33</w:t>
            </w:r>
          </w:p>
        </w:tc>
      </w:tr>
      <w:tr w:rsidR="00127D09" w:rsidRPr="00227C94" w:rsidTr="00127D09">
        <w:trPr>
          <w:cantSplit/>
        </w:trPr>
        <w:tc>
          <w:tcPr>
            <w:tcW w:w="4118" w:type="dxa"/>
            <w:tcBorders>
              <w:top w:val="nil"/>
              <w:left w:val="nil"/>
              <w:bottom w:val="nil"/>
              <w:right w:val="nil"/>
            </w:tcBorders>
            <w:vAlign w:val="bottom"/>
          </w:tcPr>
          <w:p w:rsidR="00127D09" w:rsidRPr="00227C94" w:rsidRDefault="00127D09" w:rsidP="00127D09">
            <w:pPr>
              <w:pStyle w:val="tblText02"/>
            </w:pPr>
            <w:r w:rsidRPr="00227C94">
              <w:t>Retained earnings</w:t>
            </w:r>
          </w:p>
        </w:tc>
        <w:tc>
          <w:tcPr>
            <w:tcW w:w="1417" w:type="dxa"/>
            <w:tcBorders>
              <w:top w:val="nil"/>
              <w:left w:val="nil"/>
              <w:bottom w:val="nil"/>
              <w:right w:val="nil"/>
            </w:tcBorders>
            <w:vAlign w:val="bottom"/>
          </w:tcPr>
          <w:p w:rsidR="00127D09" w:rsidRPr="00227C94" w:rsidRDefault="00127D09" w:rsidP="00127D09">
            <w:pPr>
              <w:pStyle w:val="tblNumber01"/>
            </w:pPr>
            <w:r w:rsidRPr="00227C94">
              <w:t>1,556,029</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1"/>
            </w:pPr>
            <w:r w:rsidRPr="00227C94">
              <w:t>1,424,516</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1"/>
            </w:pPr>
            <w:r w:rsidRPr="00227C94">
              <w:t>9</w:t>
            </w:r>
          </w:p>
        </w:tc>
      </w:tr>
    </w:tbl>
    <w:p w:rsidR="00916675" w:rsidRPr="00227C94" w:rsidRDefault="00916675" w:rsidP="00127D09">
      <w:pPr>
        <w:pStyle w:val="23"/>
        <w:rPr>
          <w:color w:val="auto"/>
          <w:w w:val="0"/>
        </w:rPr>
      </w:pPr>
    </w:p>
    <w:p w:rsidR="00916675" w:rsidRPr="00227C94" w:rsidRDefault="00127D09" w:rsidP="00127D09">
      <w:pPr>
        <w:pStyle w:val="31"/>
        <w:rPr>
          <w:w w:val="0"/>
          <w:lang w:val="en-US"/>
        </w:rPr>
      </w:pPr>
      <w:r w:rsidRPr="00227C94">
        <w:rPr>
          <w:w w:val="0"/>
        </w:rPr>
        <w:br w:type="page"/>
      </w:r>
      <w:r w:rsidR="00916675" w:rsidRPr="00227C94">
        <w:rPr>
          <w:w w:val="0"/>
        </w:rPr>
        <w:lastRenderedPageBreak/>
        <w:t>Capital and reserves</w:t>
      </w:r>
    </w:p>
    <w:p w:rsidR="00127D09" w:rsidRPr="00227C94" w:rsidRDefault="00127D09" w:rsidP="00127D09">
      <w:pPr>
        <w:pStyle w:val="23"/>
        <w:spacing w:line="180" w:lineRule="exact"/>
        <w:rPr>
          <w:color w:val="auto"/>
          <w:lang w:val="en-US"/>
        </w:rPr>
      </w:pPr>
    </w:p>
    <w:p w:rsidR="00916675" w:rsidRPr="00227C94" w:rsidRDefault="00916675" w:rsidP="00127D09">
      <w:pPr>
        <w:pStyle w:val="23"/>
        <w:rPr>
          <w:color w:val="auto"/>
          <w:lang w:val="en-US"/>
        </w:rPr>
      </w:pPr>
      <w:bookmarkStart w:id="333" w:name="_DV_M342"/>
      <w:bookmarkEnd w:id="333"/>
      <w:r w:rsidRPr="00227C94">
        <w:rPr>
          <w:color w:val="auto"/>
          <w:w w:val="0"/>
          <w:lang w:val="en-US"/>
        </w:rPr>
        <w:t>As at 30 June 2012, capital and reserves were USD3</w:t>
      </w:r>
      <w:proofErr w:type="gramStart"/>
      <w:r w:rsidRPr="00227C94">
        <w:rPr>
          <w:color w:val="auto"/>
          <w:w w:val="0"/>
          <w:lang w:val="en-US"/>
        </w:rPr>
        <w:t>,656,675</w:t>
      </w:r>
      <w:proofErr w:type="gramEnd"/>
      <w:r w:rsidRPr="00227C94">
        <w:rPr>
          <w:color w:val="auto"/>
          <w:w w:val="0"/>
          <w:lang w:val="en-US"/>
        </w:rPr>
        <w:t xml:space="preserve"> thousand compared to </w:t>
      </w:r>
      <w:r w:rsidR="00127D09" w:rsidRPr="00227C94">
        <w:rPr>
          <w:color w:val="auto"/>
          <w:w w:val="0"/>
          <w:lang w:val="en-US"/>
        </w:rPr>
        <w:br/>
      </w:r>
      <w:r w:rsidRPr="00227C94">
        <w:rPr>
          <w:color w:val="auto"/>
          <w:w w:val="0"/>
          <w:lang w:val="en-US"/>
        </w:rPr>
        <w:t xml:space="preserve">USD2,830,673 thousand as at 31 December 2011. In the first half of 2012, the Group’s capital and reserves changed mostly as a result of the sale of treasury block in May 2012. </w:t>
      </w:r>
      <w:r w:rsidRPr="00227C94">
        <w:rPr>
          <w:color w:val="auto"/>
          <w:lang w:val="en-US"/>
        </w:rPr>
        <w:t xml:space="preserve">The issued and fully </w:t>
      </w:r>
      <w:r w:rsidRPr="00227C94">
        <w:rPr>
          <w:color w:val="auto"/>
          <w:spacing w:val="-2"/>
          <w:lang w:val="en-US"/>
        </w:rPr>
        <w:t xml:space="preserve">paid-up share capital of PGIL comprised 3,032,149,962 ordinary shares as at 30 June 2012 (the same </w:t>
      </w:r>
      <w:r w:rsidRPr="00227C94">
        <w:rPr>
          <w:color w:val="auto"/>
          <w:lang w:val="en-US"/>
        </w:rPr>
        <w:t>amount as at 31 December 2011) at a par value of £0.0001 per share.</w:t>
      </w:r>
    </w:p>
    <w:p w:rsidR="00916675" w:rsidRPr="00227C94" w:rsidRDefault="00916675" w:rsidP="00127D09">
      <w:pPr>
        <w:pStyle w:val="23"/>
        <w:spacing w:line="180" w:lineRule="exact"/>
        <w:rPr>
          <w:color w:val="auto"/>
          <w:w w:val="0"/>
          <w:lang w:val="en-US"/>
        </w:rPr>
      </w:pPr>
      <w:bookmarkStart w:id="334" w:name="_DV_M343"/>
      <w:bookmarkEnd w:id="334"/>
    </w:p>
    <w:p w:rsidR="00916675" w:rsidRPr="00227C94" w:rsidRDefault="00916675" w:rsidP="00127D09">
      <w:pPr>
        <w:pStyle w:val="23"/>
        <w:rPr>
          <w:color w:val="auto"/>
          <w:lang w:val="en-US"/>
        </w:rPr>
      </w:pPr>
      <w:r w:rsidRPr="00227C94">
        <w:rPr>
          <w:color w:val="auto"/>
          <w:w w:val="0"/>
          <w:lang w:val="en-US"/>
        </w:rPr>
        <w:t xml:space="preserve">On 11 May 2012 the Company </w:t>
      </w:r>
      <w:r w:rsidRPr="00227C94">
        <w:rPr>
          <w:color w:val="auto"/>
          <w:lang w:val="en-US"/>
        </w:rPr>
        <w:t xml:space="preserve">completed the sale of its 151,607,496 shares, representing 5% less </w:t>
      </w:r>
      <w:r w:rsidRPr="00227C94">
        <w:rPr>
          <w:color w:val="auto"/>
          <w:spacing w:val="-3"/>
          <w:lang w:val="en-US"/>
        </w:rPr>
        <w:t xml:space="preserve">one share of it's issued share capital, to Chengdong Investment Corporation, a wholly-owned subsidiary </w:t>
      </w:r>
      <w:r w:rsidRPr="00227C94">
        <w:rPr>
          <w:color w:val="auto"/>
          <w:lang w:val="en-US"/>
        </w:rPr>
        <w:t>of CIC International Co. Ltd., and of 50,198,271 shares and 25,153,897 Level I GDRs, representing 2.50% of the Company's issued share capital, to JSC VTB Bank. Thus, the value of treasury shares decreased from USD765</w:t>
      </w:r>
      <w:proofErr w:type="gramStart"/>
      <w:r w:rsidRPr="00227C94">
        <w:rPr>
          <w:color w:val="auto"/>
          <w:lang w:val="en-US"/>
        </w:rPr>
        <w:t>,013</w:t>
      </w:r>
      <w:proofErr w:type="gramEnd"/>
      <w:r w:rsidRPr="00227C94">
        <w:rPr>
          <w:color w:val="auto"/>
          <w:lang w:val="en-US"/>
        </w:rPr>
        <w:t xml:space="preserve"> as at 31 December 2011 to zero as at 30 June 2012.</w:t>
      </w:r>
    </w:p>
    <w:p w:rsidR="00127D09" w:rsidRPr="00227C94" w:rsidRDefault="00127D09" w:rsidP="00127D09">
      <w:pPr>
        <w:pStyle w:val="23"/>
        <w:spacing w:line="180" w:lineRule="exact"/>
        <w:rPr>
          <w:color w:val="auto"/>
          <w:lang w:val="en-US"/>
        </w:rPr>
      </w:pPr>
    </w:p>
    <w:p w:rsidR="00916675" w:rsidRPr="00227C94" w:rsidRDefault="00916675" w:rsidP="00127D09">
      <w:pPr>
        <w:pStyle w:val="23"/>
        <w:rPr>
          <w:color w:val="auto"/>
          <w:w w:val="0"/>
          <w:lang w:val="en-US"/>
        </w:rPr>
      </w:pPr>
      <w:bookmarkStart w:id="335" w:name="_DV_M344"/>
      <w:bookmarkStart w:id="336" w:name="_DV_M345"/>
      <w:bookmarkEnd w:id="335"/>
      <w:bookmarkEnd w:id="336"/>
      <w:r w:rsidRPr="00227C94">
        <w:rPr>
          <w:color w:val="auto"/>
          <w:w w:val="0"/>
          <w:lang w:val="en-US"/>
        </w:rPr>
        <w:t>The investment revaluation reserve decreased by USD1</w:t>
      </w:r>
      <w:proofErr w:type="gramStart"/>
      <w:r w:rsidRPr="00227C94">
        <w:rPr>
          <w:color w:val="auto"/>
          <w:w w:val="0"/>
          <w:lang w:val="en-US"/>
        </w:rPr>
        <w:t>,791</w:t>
      </w:r>
      <w:proofErr w:type="gramEnd"/>
      <w:r w:rsidRPr="00227C94">
        <w:rPr>
          <w:color w:val="auto"/>
          <w:w w:val="0"/>
          <w:lang w:val="en-US"/>
        </w:rPr>
        <w:t xml:space="preserve"> thousand in the first half of 2012, which </w:t>
      </w:r>
      <w:bookmarkStart w:id="337" w:name="_DV_C217"/>
      <w:r w:rsidRPr="00227C94">
        <w:rPr>
          <w:color w:val="auto"/>
          <w:w w:val="0"/>
          <w:lang w:val="en-US"/>
        </w:rPr>
        <w:t>reflected the decline</w:t>
      </w:r>
      <w:bookmarkStart w:id="338" w:name="_DV_M346"/>
      <w:bookmarkEnd w:id="337"/>
      <w:bookmarkEnd w:id="338"/>
      <w:r w:rsidRPr="00227C94">
        <w:rPr>
          <w:color w:val="auto"/>
          <w:w w:val="0"/>
          <w:lang w:val="en-US"/>
        </w:rPr>
        <w:t xml:space="preserve"> in the fair value of available-for-sale investments</w:t>
      </w:r>
      <w:bookmarkStart w:id="339" w:name="_DV_M347"/>
      <w:bookmarkEnd w:id="339"/>
      <w:r w:rsidRPr="00227C94">
        <w:rPr>
          <w:color w:val="auto"/>
          <w:w w:val="0"/>
          <w:lang w:val="en-US"/>
        </w:rPr>
        <w:t>. At the reporting date the investment revaluation reserve amounted to USD2</w:t>
      </w:r>
      <w:proofErr w:type="gramStart"/>
      <w:r w:rsidRPr="00227C94">
        <w:rPr>
          <w:color w:val="auto"/>
          <w:w w:val="0"/>
          <w:lang w:val="en-US"/>
        </w:rPr>
        <w:t>,776</w:t>
      </w:r>
      <w:proofErr w:type="gramEnd"/>
      <w:r w:rsidRPr="00227C94">
        <w:rPr>
          <w:color w:val="auto"/>
          <w:w w:val="0"/>
          <w:lang w:val="en-US"/>
        </w:rPr>
        <w:t xml:space="preserve"> thousand.</w:t>
      </w:r>
    </w:p>
    <w:p w:rsidR="00127D09" w:rsidRPr="00227C94" w:rsidRDefault="00127D09" w:rsidP="00127D09">
      <w:pPr>
        <w:pStyle w:val="23"/>
        <w:spacing w:line="180" w:lineRule="exact"/>
        <w:rPr>
          <w:color w:val="auto"/>
          <w:w w:val="0"/>
          <w:lang w:val="en-US"/>
        </w:rPr>
      </w:pPr>
    </w:p>
    <w:p w:rsidR="00916675" w:rsidRPr="00227C94" w:rsidRDefault="00916675" w:rsidP="00127D09">
      <w:pPr>
        <w:pStyle w:val="23"/>
        <w:rPr>
          <w:color w:val="auto"/>
          <w:spacing w:val="-2"/>
          <w:lang w:val="en-US"/>
        </w:rPr>
      </w:pPr>
      <w:r w:rsidRPr="00227C94">
        <w:rPr>
          <w:color w:val="auto"/>
          <w:w w:val="0"/>
          <w:lang w:val="en-US"/>
        </w:rPr>
        <w:t xml:space="preserve">The translation reserve changed by USD85,459 thousand as a result of </w:t>
      </w:r>
      <w:r w:rsidRPr="00227C94">
        <w:rPr>
          <w:color w:val="auto"/>
          <w:lang w:val="en-US"/>
        </w:rPr>
        <w:t xml:space="preserve">RUB/USD exchange rate </w:t>
      </w:r>
      <w:r w:rsidRPr="00227C94">
        <w:rPr>
          <w:color w:val="auto"/>
          <w:spacing w:val="-2"/>
          <w:lang w:val="en-US"/>
        </w:rPr>
        <w:t>increase from 32.1961 RUB/USD as at 31 December 2011 to 32.8169 RUB/USD as at 30 June 2012.</w:t>
      </w:r>
    </w:p>
    <w:p w:rsidR="00127D09" w:rsidRPr="00227C94" w:rsidRDefault="00127D09" w:rsidP="00127D09">
      <w:pPr>
        <w:pStyle w:val="23"/>
        <w:spacing w:line="180" w:lineRule="exact"/>
        <w:rPr>
          <w:color w:val="auto"/>
          <w:w w:val="0"/>
          <w:lang w:val="en-US"/>
        </w:rPr>
      </w:pPr>
    </w:p>
    <w:p w:rsidR="00916675" w:rsidRPr="00227C94" w:rsidRDefault="00916675" w:rsidP="00127D09">
      <w:pPr>
        <w:pStyle w:val="23"/>
        <w:rPr>
          <w:color w:val="auto"/>
          <w:w w:val="0"/>
          <w:lang w:val="en-US"/>
        </w:rPr>
      </w:pPr>
      <w:bookmarkStart w:id="340" w:name="_DV_M348"/>
      <w:bookmarkEnd w:id="340"/>
      <w:r w:rsidRPr="00227C94">
        <w:rPr>
          <w:color w:val="auto"/>
          <w:w w:val="0"/>
          <w:lang w:val="en-US"/>
        </w:rPr>
        <w:t>During the reporting period, the Group’s retained earnings increased by 9% to USD1</w:t>
      </w:r>
      <w:proofErr w:type="gramStart"/>
      <w:r w:rsidRPr="00227C94">
        <w:rPr>
          <w:color w:val="auto"/>
          <w:w w:val="0"/>
          <w:lang w:val="en-US"/>
        </w:rPr>
        <w:t>,556,029</w:t>
      </w:r>
      <w:proofErr w:type="gramEnd"/>
      <w:r w:rsidRPr="00227C94">
        <w:rPr>
          <w:color w:val="auto"/>
          <w:w w:val="0"/>
          <w:lang w:val="en-US"/>
        </w:rPr>
        <w:t xml:space="preserve"> thousand, reflecting a net profit attributable to </w:t>
      </w:r>
      <w:bookmarkStart w:id="341" w:name="_DV_C219"/>
      <w:r w:rsidRPr="00227C94">
        <w:rPr>
          <w:color w:val="auto"/>
          <w:w w:val="0"/>
          <w:lang w:val="en-US"/>
        </w:rPr>
        <w:t>shareholders of</w:t>
      </w:r>
      <w:bookmarkStart w:id="342" w:name="_DV_M349"/>
      <w:bookmarkEnd w:id="341"/>
      <w:bookmarkEnd w:id="342"/>
      <w:r w:rsidRPr="00227C94">
        <w:rPr>
          <w:color w:val="auto"/>
          <w:w w:val="0"/>
          <w:lang w:val="en-US"/>
        </w:rPr>
        <w:t xml:space="preserve"> the parent company of USD 389,315 thousand, which was partly offset by a </w:t>
      </w:r>
      <w:r w:rsidRPr="00227C94">
        <w:rPr>
          <w:color w:val="auto"/>
          <w:lang w:val="en-US"/>
        </w:rPr>
        <w:t>net loss on disposal of treasury shares of the Company in the amount of USD103,166 thousand. This net loss is calculated as the difference between net proceeds from the sale of shares of USD624</w:t>
      </w:r>
      <w:proofErr w:type="gramStart"/>
      <w:r w:rsidRPr="00227C94">
        <w:rPr>
          <w:color w:val="auto"/>
          <w:lang w:val="en-US"/>
        </w:rPr>
        <w:t>,372</w:t>
      </w:r>
      <w:proofErr w:type="gramEnd"/>
      <w:r w:rsidRPr="00227C94">
        <w:rPr>
          <w:color w:val="auto"/>
          <w:lang w:val="en-US"/>
        </w:rPr>
        <w:t xml:space="preserve"> thousand and the book value of the disposed treasury shares of USD727,538 thousand.</w:t>
      </w:r>
    </w:p>
    <w:p w:rsidR="00916675" w:rsidRPr="00227C94" w:rsidRDefault="00916675" w:rsidP="00127D09">
      <w:pPr>
        <w:pStyle w:val="23"/>
        <w:spacing w:line="180" w:lineRule="exact"/>
        <w:rPr>
          <w:b/>
          <w:i/>
          <w:color w:val="auto"/>
          <w:w w:val="0"/>
          <w:lang w:val="en-US"/>
        </w:rPr>
      </w:pPr>
      <w:bookmarkStart w:id="343" w:name="_DV_M350"/>
      <w:bookmarkEnd w:id="343"/>
    </w:p>
    <w:p w:rsidR="00916675" w:rsidRPr="00227C94" w:rsidRDefault="00916675" w:rsidP="00127D09">
      <w:pPr>
        <w:pStyle w:val="31"/>
        <w:rPr>
          <w:w w:val="0"/>
          <w:lang w:val="en-US"/>
        </w:rPr>
      </w:pPr>
      <w:bookmarkStart w:id="344" w:name="_DV_M356"/>
      <w:bookmarkEnd w:id="344"/>
      <w:r w:rsidRPr="00227C94">
        <w:rPr>
          <w:w w:val="0"/>
        </w:rPr>
        <w:t>Non-current liabilities</w:t>
      </w:r>
    </w:p>
    <w:p w:rsidR="00127D09" w:rsidRPr="00227C94" w:rsidRDefault="00127D09" w:rsidP="00127D09">
      <w:pPr>
        <w:pStyle w:val="23"/>
        <w:spacing w:line="180" w:lineRule="exact"/>
        <w:rPr>
          <w:color w:val="auto"/>
          <w:lang w:val="en-US"/>
        </w:rPr>
      </w:pPr>
    </w:p>
    <w:p w:rsidR="00916675" w:rsidRPr="00227C94" w:rsidRDefault="00916675" w:rsidP="00127D09">
      <w:pPr>
        <w:pStyle w:val="23"/>
        <w:rPr>
          <w:color w:val="auto"/>
          <w:w w:val="0"/>
          <w:lang w:val="en-US"/>
        </w:rPr>
      </w:pPr>
      <w:bookmarkStart w:id="345" w:name="_DV_M357"/>
      <w:bookmarkEnd w:id="345"/>
      <w:r w:rsidRPr="00227C94">
        <w:rPr>
          <w:color w:val="auto"/>
          <w:w w:val="0"/>
          <w:lang w:val="en-US"/>
        </w:rPr>
        <w:t>In the first half of 2012, non-current liabilities increased by 39% to USD 662,252 thousand at 30 June 2012. The major change relates to the increase in long-term borrowings.</w:t>
      </w:r>
      <w:bookmarkStart w:id="346" w:name="_DV_M358"/>
      <w:bookmarkEnd w:id="346"/>
    </w:p>
    <w:p w:rsidR="00127D09" w:rsidRPr="00227C94" w:rsidRDefault="00127D09" w:rsidP="00127D09">
      <w:pPr>
        <w:pStyle w:val="23"/>
        <w:spacing w:line="180" w:lineRule="exact"/>
        <w:rPr>
          <w:color w:val="auto"/>
          <w:w w:val="0"/>
          <w:lang w:val="en-US"/>
        </w:rPr>
      </w:pPr>
    </w:p>
    <w:tbl>
      <w:tblPr>
        <w:tblW w:w="8964" w:type="dxa"/>
        <w:tblInd w:w="476" w:type="dxa"/>
        <w:tblLayout w:type="fixed"/>
        <w:tblCellMar>
          <w:left w:w="0" w:type="dxa"/>
          <w:right w:w="0" w:type="dxa"/>
        </w:tblCellMar>
        <w:tblLook w:val="0000" w:firstRow="0" w:lastRow="0" w:firstColumn="0" w:lastColumn="0" w:noHBand="0" w:noVBand="0"/>
      </w:tblPr>
      <w:tblGrid>
        <w:gridCol w:w="3919"/>
        <w:gridCol w:w="1701"/>
        <w:gridCol w:w="113"/>
        <w:gridCol w:w="1588"/>
        <w:gridCol w:w="113"/>
        <w:gridCol w:w="1417"/>
        <w:gridCol w:w="113"/>
      </w:tblGrid>
      <w:tr w:rsidR="007B330D" w:rsidRPr="00227C94" w:rsidTr="007B330D">
        <w:trPr>
          <w:cantSplit/>
        </w:trPr>
        <w:tc>
          <w:tcPr>
            <w:tcW w:w="3919" w:type="dxa"/>
            <w:tcBorders>
              <w:top w:val="nil"/>
              <w:left w:val="nil"/>
              <w:right w:val="nil"/>
            </w:tcBorders>
            <w:vAlign w:val="bottom"/>
          </w:tcPr>
          <w:p w:rsidR="007B330D" w:rsidRPr="00227C94" w:rsidRDefault="007B330D" w:rsidP="00127D09">
            <w:pPr>
              <w:pStyle w:val="tblHeaderText"/>
              <w:jc w:val="left"/>
              <w:rPr>
                <w:w w:val="0"/>
              </w:rPr>
            </w:pPr>
            <w:r w:rsidRPr="00227C94">
              <w:rPr>
                <w:w w:val="0"/>
              </w:rPr>
              <w:t>USD‘000</w:t>
            </w:r>
          </w:p>
        </w:tc>
        <w:tc>
          <w:tcPr>
            <w:tcW w:w="1701" w:type="dxa"/>
            <w:tcBorders>
              <w:top w:val="nil"/>
              <w:left w:val="nil"/>
              <w:bottom w:val="single" w:sz="6" w:space="0" w:color="auto"/>
              <w:right w:val="nil"/>
            </w:tcBorders>
            <w:shd w:val="clear" w:color="auto" w:fill="auto"/>
            <w:vAlign w:val="bottom"/>
          </w:tcPr>
          <w:p w:rsidR="007B330D" w:rsidRPr="00227C94" w:rsidRDefault="007B330D" w:rsidP="00127D09">
            <w:pPr>
              <w:pStyle w:val="tblHeaderText"/>
              <w:rPr>
                <w:w w:val="0"/>
                <w:lang w:val="en-US"/>
              </w:rPr>
            </w:pPr>
            <w:r w:rsidRPr="00227C94">
              <w:rPr>
                <w:w w:val="0"/>
              </w:rPr>
              <w:t>30 June</w:t>
            </w:r>
            <w:r w:rsidRPr="00227C94">
              <w:rPr>
                <w:w w:val="0"/>
                <w:lang w:val="en-US"/>
              </w:rPr>
              <w:t xml:space="preserve"> </w:t>
            </w:r>
          </w:p>
          <w:p w:rsidR="007B330D" w:rsidRPr="00227C94" w:rsidRDefault="007B330D" w:rsidP="00127D09">
            <w:pPr>
              <w:pStyle w:val="tblHeaderText"/>
              <w:rPr>
                <w:w w:val="0"/>
              </w:rPr>
            </w:pPr>
            <w:r w:rsidRPr="00227C94">
              <w:rPr>
                <w:w w:val="0"/>
              </w:rPr>
              <w:t>2012</w:t>
            </w:r>
          </w:p>
        </w:tc>
        <w:tc>
          <w:tcPr>
            <w:tcW w:w="113" w:type="dxa"/>
            <w:tcBorders>
              <w:top w:val="nil"/>
              <w:left w:val="nil"/>
              <w:right w:val="nil"/>
            </w:tcBorders>
            <w:vAlign w:val="bottom"/>
          </w:tcPr>
          <w:p w:rsidR="007B330D" w:rsidRPr="00227C94" w:rsidRDefault="007B330D" w:rsidP="00127D09">
            <w:pPr>
              <w:pStyle w:val="tblHeaderText"/>
              <w:rPr>
                <w:w w:val="0"/>
              </w:rPr>
            </w:pPr>
          </w:p>
        </w:tc>
        <w:tc>
          <w:tcPr>
            <w:tcW w:w="1588" w:type="dxa"/>
            <w:tcBorders>
              <w:top w:val="nil"/>
              <w:left w:val="nil"/>
              <w:bottom w:val="single" w:sz="6" w:space="0" w:color="auto"/>
              <w:right w:val="nil"/>
            </w:tcBorders>
            <w:shd w:val="clear" w:color="auto" w:fill="auto"/>
            <w:vAlign w:val="bottom"/>
          </w:tcPr>
          <w:p w:rsidR="007B330D" w:rsidRPr="00227C94" w:rsidRDefault="007B330D" w:rsidP="00127D09">
            <w:pPr>
              <w:pStyle w:val="tblHeaderText"/>
              <w:rPr>
                <w:w w:val="0"/>
              </w:rPr>
            </w:pPr>
            <w:r w:rsidRPr="00227C94">
              <w:rPr>
                <w:w w:val="0"/>
              </w:rPr>
              <w:t>31 December</w:t>
            </w:r>
          </w:p>
          <w:p w:rsidR="007B330D" w:rsidRPr="00227C94" w:rsidRDefault="007B330D" w:rsidP="00127D09">
            <w:pPr>
              <w:pStyle w:val="tblHeaderText"/>
              <w:rPr>
                <w:w w:val="0"/>
              </w:rPr>
            </w:pPr>
            <w:r w:rsidRPr="00227C94">
              <w:rPr>
                <w:w w:val="0"/>
              </w:rPr>
              <w:t>2011</w:t>
            </w:r>
          </w:p>
        </w:tc>
        <w:tc>
          <w:tcPr>
            <w:tcW w:w="113" w:type="dxa"/>
            <w:tcBorders>
              <w:top w:val="nil"/>
              <w:left w:val="nil"/>
              <w:right w:val="nil"/>
            </w:tcBorders>
            <w:vAlign w:val="bottom"/>
          </w:tcPr>
          <w:p w:rsidR="007B330D" w:rsidRPr="00227C94" w:rsidRDefault="007B330D" w:rsidP="00127D09">
            <w:pPr>
              <w:pStyle w:val="tblHeaderText"/>
              <w:rPr>
                <w:w w:val="0"/>
              </w:rPr>
            </w:pPr>
          </w:p>
        </w:tc>
        <w:tc>
          <w:tcPr>
            <w:tcW w:w="1417" w:type="dxa"/>
            <w:tcBorders>
              <w:top w:val="nil"/>
              <w:left w:val="nil"/>
              <w:bottom w:val="single" w:sz="6" w:space="0" w:color="auto"/>
              <w:right w:val="nil"/>
            </w:tcBorders>
            <w:shd w:val="clear" w:color="auto" w:fill="auto"/>
            <w:vAlign w:val="bottom"/>
          </w:tcPr>
          <w:p w:rsidR="007B330D" w:rsidRPr="00227C94" w:rsidRDefault="007B330D" w:rsidP="00127D09">
            <w:pPr>
              <w:pStyle w:val="tblHeaderText"/>
              <w:rPr>
                <w:w w:val="0"/>
                <w:lang w:val="en-US"/>
              </w:rPr>
            </w:pPr>
            <w:r w:rsidRPr="00227C94">
              <w:rPr>
                <w:w w:val="0"/>
                <w:lang w:val="en-US"/>
              </w:rPr>
              <w:t>%</w:t>
            </w:r>
          </w:p>
          <w:p w:rsidR="007B330D" w:rsidRPr="00227C94" w:rsidRDefault="00F22941" w:rsidP="007B330D">
            <w:pPr>
              <w:pStyle w:val="tblHeaderText"/>
              <w:rPr>
                <w:w w:val="0"/>
                <w:lang w:val="en-US"/>
              </w:rPr>
            </w:pPr>
            <w:r w:rsidRPr="00227C94">
              <w:rPr>
                <w:w w:val="0"/>
                <w:lang w:val="en-GB"/>
              </w:rPr>
              <w:t>c</w:t>
            </w:r>
            <w:r w:rsidR="007B330D" w:rsidRPr="00227C94">
              <w:rPr>
                <w:w w:val="0"/>
              </w:rPr>
              <w:t>hange</w:t>
            </w:r>
          </w:p>
        </w:tc>
        <w:tc>
          <w:tcPr>
            <w:tcW w:w="113" w:type="dxa"/>
            <w:tcBorders>
              <w:top w:val="nil"/>
              <w:left w:val="nil"/>
              <w:right w:val="nil"/>
            </w:tcBorders>
            <w:vAlign w:val="bottom"/>
          </w:tcPr>
          <w:p w:rsidR="007B330D" w:rsidRPr="00227C94" w:rsidRDefault="007B330D" w:rsidP="00127D09">
            <w:pPr>
              <w:pStyle w:val="tblHeaderText"/>
            </w:pPr>
          </w:p>
        </w:tc>
      </w:tr>
      <w:tr w:rsidR="007B330D" w:rsidRPr="00227C94" w:rsidTr="007B330D">
        <w:trPr>
          <w:cantSplit/>
          <w:trHeight w:hRule="exact" w:val="113"/>
        </w:trPr>
        <w:tc>
          <w:tcPr>
            <w:tcW w:w="3919" w:type="dxa"/>
            <w:tcBorders>
              <w:top w:val="nil"/>
              <w:left w:val="nil"/>
              <w:right w:val="nil"/>
            </w:tcBorders>
          </w:tcPr>
          <w:p w:rsidR="007B330D" w:rsidRPr="00227C94" w:rsidRDefault="007B330D" w:rsidP="00127D09">
            <w:pPr>
              <w:pStyle w:val="tblHeaderText"/>
              <w:jc w:val="left"/>
              <w:rPr>
                <w:w w:val="0"/>
              </w:rPr>
            </w:pPr>
          </w:p>
        </w:tc>
        <w:tc>
          <w:tcPr>
            <w:tcW w:w="1701" w:type="dxa"/>
            <w:tcBorders>
              <w:top w:val="single" w:sz="6" w:space="0" w:color="auto"/>
              <w:left w:val="nil"/>
              <w:right w:val="nil"/>
            </w:tcBorders>
            <w:shd w:val="clear" w:color="auto" w:fill="auto"/>
          </w:tcPr>
          <w:p w:rsidR="007B330D" w:rsidRPr="00227C94" w:rsidRDefault="007B330D" w:rsidP="00127D09">
            <w:pPr>
              <w:pStyle w:val="tblHeaderText"/>
              <w:rPr>
                <w:w w:val="0"/>
              </w:rPr>
            </w:pPr>
          </w:p>
        </w:tc>
        <w:tc>
          <w:tcPr>
            <w:tcW w:w="113" w:type="dxa"/>
            <w:tcBorders>
              <w:top w:val="nil"/>
              <w:left w:val="nil"/>
              <w:right w:val="nil"/>
            </w:tcBorders>
          </w:tcPr>
          <w:p w:rsidR="007B330D" w:rsidRPr="00227C94" w:rsidRDefault="007B330D" w:rsidP="00127D09">
            <w:pPr>
              <w:pStyle w:val="tblHeaderText"/>
              <w:rPr>
                <w:w w:val="0"/>
              </w:rPr>
            </w:pPr>
          </w:p>
        </w:tc>
        <w:tc>
          <w:tcPr>
            <w:tcW w:w="1588" w:type="dxa"/>
            <w:tcBorders>
              <w:top w:val="single" w:sz="6" w:space="0" w:color="auto"/>
              <w:left w:val="nil"/>
              <w:right w:val="nil"/>
            </w:tcBorders>
            <w:shd w:val="clear" w:color="auto" w:fill="auto"/>
          </w:tcPr>
          <w:p w:rsidR="007B330D" w:rsidRPr="00227C94" w:rsidRDefault="007B330D" w:rsidP="00127D09">
            <w:pPr>
              <w:pStyle w:val="tblHeaderText"/>
              <w:rPr>
                <w:w w:val="0"/>
              </w:rPr>
            </w:pPr>
          </w:p>
        </w:tc>
        <w:tc>
          <w:tcPr>
            <w:tcW w:w="113" w:type="dxa"/>
            <w:tcBorders>
              <w:top w:val="nil"/>
              <w:left w:val="nil"/>
              <w:right w:val="nil"/>
            </w:tcBorders>
          </w:tcPr>
          <w:p w:rsidR="007B330D" w:rsidRPr="00227C94" w:rsidRDefault="007B330D" w:rsidP="00127D09">
            <w:pPr>
              <w:pStyle w:val="tblHeaderText"/>
              <w:rPr>
                <w:w w:val="0"/>
              </w:rPr>
            </w:pPr>
          </w:p>
        </w:tc>
        <w:tc>
          <w:tcPr>
            <w:tcW w:w="1417" w:type="dxa"/>
            <w:tcBorders>
              <w:top w:val="single" w:sz="6" w:space="0" w:color="auto"/>
              <w:left w:val="nil"/>
              <w:right w:val="nil"/>
            </w:tcBorders>
            <w:shd w:val="clear" w:color="auto" w:fill="auto"/>
          </w:tcPr>
          <w:p w:rsidR="007B330D" w:rsidRPr="00227C94" w:rsidRDefault="007B330D" w:rsidP="00127D09">
            <w:pPr>
              <w:pStyle w:val="tblHeaderText"/>
              <w:rPr>
                <w:w w:val="0"/>
              </w:rPr>
            </w:pPr>
          </w:p>
        </w:tc>
        <w:tc>
          <w:tcPr>
            <w:tcW w:w="113" w:type="dxa"/>
            <w:tcBorders>
              <w:top w:val="nil"/>
              <w:left w:val="nil"/>
              <w:right w:val="nil"/>
            </w:tcBorders>
          </w:tcPr>
          <w:p w:rsidR="007B330D" w:rsidRPr="00227C94" w:rsidRDefault="007B330D" w:rsidP="00127D09">
            <w:pPr>
              <w:pStyle w:val="tblHeaderText"/>
            </w:pPr>
          </w:p>
        </w:tc>
      </w:tr>
      <w:tr w:rsidR="007B330D" w:rsidRPr="00227C94" w:rsidTr="007B330D">
        <w:trPr>
          <w:cantSplit/>
        </w:trPr>
        <w:tc>
          <w:tcPr>
            <w:tcW w:w="3919" w:type="dxa"/>
            <w:tcBorders>
              <w:top w:val="nil"/>
              <w:left w:val="nil"/>
              <w:bottom w:val="nil"/>
              <w:right w:val="nil"/>
            </w:tcBorders>
          </w:tcPr>
          <w:p w:rsidR="007B330D" w:rsidRPr="00227C94" w:rsidRDefault="007B330D" w:rsidP="00127D09">
            <w:pPr>
              <w:pStyle w:val="tblText02"/>
              <w:rPr>
                <w:w w:val="0"/>
                <w:lang w:val="en-US"/>
              </w:rPr>
            </w:pPr>
            <w:r w:rsidRPr="00227C94">
              <w:rPr>
                <w:w w:val="0"/>
                <w:lang w:val="en-US"/>
              </w:rPr>
              <w:t>Site restoration and environmental obligations</w:t>
            </w:r>
          </w:p>
        </w:tc>
        <w:tc>
          <w:tcPr>
            <w:tcW w:w="1701" w:type="dxa"/>
            <w:tcBorders>
              <w:top w:val="nil"/>
              <w:left w:val="nil"/>
              <w:bottom w:val="nil"/>
              <w:right w:val="nil"/>
            </w:tcBorders>
            <w:vAlign w:val="bottom"/>
          </w:tcPr>
          <w:p w:rsidR="007B330D" w:rsidRPr="00227C94" w:rsidRDefault="007B330D" w:rsidP="00127D09">
            <w:pPr>
              <w:pStyle w:val="tblNumber01"/>
            </w:pPr>
            <w:r w:rsidRPr="00227C94">
              <w:t>150,083</w:t>
            </w:r>
          </w:p>
        </w:tc>
        <w:tc>
          <w:tcPr>
            <w:tcW w:w="113" w:type="dxa"/>
            <w:tcBorders>
              <w:top w:val="nil"/>
              <w:left w:val="nil"/>
              <w:bottom w:val="nil"/>
              <w:right w:val="nil"/>
            </w:tcBorders>
            <w:vAlign w:val="bottom"/>
          </w:tcPr>
          <w:p w:rsidR="007B330D" w:rsidRPr="00227C94" w:rsidRDefault="007B330D" w:rsidP="00127D09">
            <w:pPr>
              <w:pStyle w:val="tblNumber01"/>
            </w:pPr>
          </w:p>
        </w:tc>
        <w:tc>
          <w:tcPr>
            <w:tcW w:w="1588" w:type="dxa"/>
            <w:tcBorders>
              <w:top w:val="nil"/>
              <w:left w:val="nil"/>
              <w:bottom w:val="nil"/>
              <w:right w:val="nil"/>
            </w:tcBorders>
            <w:vAlign w:val="bottom"/>
          </w:tcPr>
          <w:p w:rsidR="007B330D" w:rsidRPr="00227C94" w:rsidRDefault="007B330D" w:rsidP="00127D09">
            <w:pPr>
              <w:pStyle w:val="tblNumber01"/>
            </w:pPr>
            <w:r w:rsidRPr="00227C94">
              <w:t>149,876</w:t>
            </w:r>
          </w:p>
        </w:tc>
        <w:tc>
          <w:tcPr>
            <w:tcW w:w="113" w:type="dxa"/>
            <w:tcBorders>
              <w:top w:val="nil"/>
              <w:left w:val="nil"/>
              <w:bottom w:val="nil"/>
              <w:right w:val="nil"/>
            </w:tcBorders>
            <w:vAlign w:val="bottom"/>
          </w:tcPr>
          <w:p w:rsidR="007B330D" w:rsidRPr="00227C94" w:rsidRDefault="007B330D" w:rsidP="00127D09">
            <w:pPr>
              <w:pStyle w:val="tblNumber01"/>
            </w:pPr>
          </w:p>
        </w:tc>
        <w:tc>
          <w:tcPr>
            <w:tcW w:w="1417" w:type="dxa"/>
            <w:tcBorders>
              <w:top w:val="nil"/>
              <w:left w:val="nil"/>
              <w:bottom w:val="nil"/>
              <w:right w:val="nil"/>
            </w:tcBorders>
            <w:vAlign w:val="bottom"/>
          </w:tcPr>
          <w:p w:rsidR="007B330D" w:rsidRPr="00227C94" w:rsidRDefault="007B330D" w:rsidP="00127D09">
            <w:pPr>
              <w:pStyle w:val="tblNumber01"/>
            </w:pPr>
            <w:r w:rsidRPr="00227C94">
              <w:t>0</w:t>
            </w:r>
          </w:p>
        </w:tc>
        <w:tc>
          <w:tcPr>
            <w:tcW w:w="113" w:type="dxa"/>
            <w:tcBorders>
              <w:top w:val="nil"/>
              <w:left w:val="nil"/>
              <w:bottom w:val="nil"/>
              <w:right w:val="nil"/>
            </w:tcBorders>
            <w:vAlign w:val="bottom"/>
          </w:tcPr>
          <w:p w:rsidR="007B330D" w:rsidRPr="00227C94" w:rsidRDefault="007B330D" w:rsidP="00127D09">
            <w:pPr>
              <w:pStyle w:val="tblNumber01"/>
            </w:pPr>
          </w:p>
        </w:tc>
      </w:tr>
      <w:tr w:rsidR="007B330D" w:rsidRPr="00227C94" w:rsidTr="007B330D">
        <w:trPr>
          <w:cantSplit/>
        </w:trPr>
        <w:tc>
          <w:tcPr>
            <w:tcW w:w="3919" w:type="dxa"/>
            <w:tcBorders>
              <w:top w:val="nil"/>
              <w:left w:val="nil"/>
              <w:bottom w:val="nil"/>
              <w:right w:val="nil"/>
            </w:tcBorders>
          </w:tcPr>
          <w:p w:rsidR="007B330D" w:rsidRPr="00227C94" w:rsidRDefault="007B330D" w:rsidP="00127D09">
            <w:pPr>
              <w:pStyle w:val="tblText02"/>
              <w:rPr>
                <w:w w:val="0"/>
              </w:rPr>
            </w:pPr>
            <w:r w:rsidRPr="00227C94">
              <w:rPr>
                <w:w w:val="0"/>
              </w:rPr>
              <w:t>Borrowings</w:t>
            </w:r>
          </w:p>
        </w:tc>
        <w:tc>
          <w:tcPr>
            <w:tcW w:w="1701" w:type="dxa"/>
            <w:tcBorders>
              <w:top w:val="nil"/>
              <w:left w:val="nil"/>
              <w:bottom w:val="nil"/>
              <w:right w:val="nil"/>
            </w:tcBorders>
            <w:vAlign w:val="bottom"/>
          </w:tcPr>
          <w:p w:rsidR="007B330D" w:rsidRPr="00227C94" w:rsidRDefault="007B330D" w:rsidP="00127D09">
            <w:pPr>
              <w:pStyle w:val="tblNumber01"/>
            </w:pPr>
            <w:r w:rsidRPr="00227C94">
              <w:t>302,176</w:t>
            </w:r>
          </w:p>
        </w:tc>
        <w:tc>
          <w:tcPr>
            <w:tcW w:w="113" w:type="dxa"/>
            <w:tcBorders>
              <w:top w:val="nil"/>
              <w:left w:val="nil"/>
              <w:bottom w:val="nil"/>
              <w:right w:val="nil"/>
            </w:tcBorders>
            <w:vAlign w:val="bottom"/>
          </w:tcPr>
          <w:p w:rsidR="007B330D" w:rsidRPr="00227C94" w:rsidRDefault="007B330D" w:rsidP="00127D09">
            <w:pPr>
              <w:pStyle w:val="tblNumber01"/>
            </w:pPr>
          </w:p>
        </w:tc>
        <w:tc>
          <w:tcPr>
            <w:tcW w:w="1588" w:type="dxa"/>
            <w:tcBorders>
              <w:top w:val="nil"/>
              <w:left w:val="nil"/>
              <w:bottom w:val="nil"/>
              <w:right w:val="nil"/>
            </w:tcBorders>
            <w:vAlign w:val="bottom"/>
          </w:tcPr>
          <w:p w:rsidR="007B330D" w:rsidRPr="00227C94" w:rsidRDefault="007B330D" w:rsidP="00127D09">
            <w:pPr>
              <w:pStyle w:val="tblNumber01"/>
            </w:pPr>
            <w:r w:rsidRPr="00227C94">
              <w:t>123,048</w:t>
            </w:r>
          </w:p>
        </w:tc>
        <w:tc>
          <w:tcPr>
            <w:tcW w:w="113" w:type="dxa"/>
            <w:tcBorders>
              <w:top w:val="nil"/>
              <w:left w:val="nil"/>
              <w:bottom w:val="nil"/>
              <w:right w:val="nil"/>
            </w:tcBorders>
            <w:vAlign w:val="bottom"/>
          </w:tcPr>
          <w:p w:rsidR="007B330D" w:rsidRPr="00227C94" w:rsidRDefault="007B330D" w:rsidP="00127D09">
            <w:pPr>
              <w:pStyle w:val="tblNumber01"/>
            </w:pPr>
          </w:p>
        </w:tc>
        <w:tc>
          <w:tcPr>
            <w:tcW w:w="1417" w:type="dxa"/>
            <w:tcBorders>
              <w:top w:val="nil"/>
              <w:left w:val="nil"/>
              <w:bottom w:val="nil"/>
              <w:right w:val="nil"/>
            </w:tcBorders>
            <w:vAlign w:val="bottom"/>
          </w:tcPr>
          <w:p w:rsidR="007B330D" w:rsidRPr="00227C94" w:rsidRDefault="007B330D" w:rsidP="00127D09">
            <w:pPr>
              <w:pStyle w:val="tblNumber01"/>
            </w:pPr>
            <w:r w:rsidRPr="00227C94">
              <w:t>146</w:t>
            </w:r>
          </w:p>
        </w:tc>
        <w:tc>
          <w:tcPr>
            <w:tcW w:w="113" w:type="dxa"/>
            <w:tcBorders>
              <w:top w:val="nil"/>
              <w:left w:val="nil"/>
              <w:bottom w:val="nil"/>
              <w:right w:val="nil"/>
            </w:tcBorders>
            <w:vAlign w:val="bottom"/>
          </w:tcPr>
          <w:p w:rsidR="007B330D" w:rsidRPr="00227C94" w:rsidRDefault="007B330D" w:rsidP="00127D09">
            <w:pPr>
              <w:pStyle w:val="tblNumber01"/>
            </w:pPr>
          </w:p>
        </w:tc>
      </w:tr>
      <w:tr w:rsidR="007B330D" w:rsidRPr="00227C94" w:rsidTr="007B330D">
        <w:trPr>
          <w:cantSplit/>
        </w:trPr>
        <w:tc>
          <w:tcPr>
            <w:tcW w:w="3919" w:type="dxa"/>
            <w:tcBorders>
              <w:top w:val="nil"/>
              <w:left w:val="nil"/>
              <w:bottom w:val="nil"/>
              <w:right w:val="nil"/>
            </w:tcBorders>
          </w:tcPr>
          <w:p w:rsidR="007B330D" w:rsidRPr="00227C94" w:rsidRDefault="007B330D" w:rsidP="00127D09">
            <w:pPr>
              <w:pStyle w:val="tblText02"/>
              <w:rPr>
                <w:w w:val="0"/>
              </w:rPr>
            </w:pPr>
            <w:r w:rsidRPr="00227C94">
              <w:rPr>
                <w:w w:val="0"/>
              </w:rPr>
              <w:t>Deferred tax liabilities</w:t>
            </w:r>
          </w:p>
        </w:tc>
        <w:tc>
          <w:tcPr>
            <w:tcW w:w="1701" w:type="dxa"/>
            <w:tcBorders>
              <w:top w:val="nil"/>
              <w:left w:val="nil"/>
              <w:right w:val="nil"/>
            </w:tcBorders>
            <w:vAlign w:val="bottom"/>
          </w:tcPr>
          <w:p w:rsidR="007B330D" w:rsidRPr="00227C94" w:rsidRDefault="007B330D" w:rsidP="00127D09">
            <w:pPr>
              <w:pStyle w:val="tblNumber01"/>
            </w:pPr>
            <w:r w:rsidRPr="00227C94">
              <w:t>187,139</w:t>
            </w:r>
          </w:p>
        </w:tc>
        <w:tc>
          <w:tcPr>
            <w:tcW w:w="113" w:type="dxa"/>
            <w:tcBorders>
              <w:top w:val="nil"/>
              <w:left w:val="nil"/>
              <w:bottom w:val="nil"/>
              <w:right w:val="nil"/>
            </w:tcBorders>
            <w:vAlign w:val="bottom"/>
          </w:tcPr>
          <w:p w:rsidR="007B330D" w:rsidRPr="00227C94" w:rsidRDefault="007B330D" w:rsidP="00127D09">
            <w:pPr>
              <w:pStyle w:val="tblNumber01"/>
            </w:pPr>
          </w:p>
        </w:tc>
        <w:tc>
          <w:tcPr>
            <w:tcW w:w="1588" w:type="dxa"/>
            <w:tcBorders>
              <w:top w:val="nil"/>
              <w:left w:val="nil"/>
              <w:right w:val="nil"/>
            </w:tcBorders>
            <w:vAlign w:val="bottom"/>
          </w:tcPr>
          <w:p w:rsidR="007B330D" w:rsidRPr="00227C94" w:rsidRDefault="007B330D" w:rsidP="00127D09">
            <w:pPr>
              <w:pStyle w:val="tblNumber01"/>
            </w:pPr>
            <w:r w:rsidRPr="00227C94">
              <w:t>180,741</w:t>
            </w:r>
          </w:p>
        </w:tc>
        <w:tc>
          <w:tcPr>
            <w:tcW w:w="113" w:type="dxa"/>
            <w:tcBorders>
              <w:top w:val="nil"/>
              <w:left w:val="nil"/>
              <w:bottom w:val="nil"/>
              <w:right w:val="nil"/>
            </w:tcBorders>
            <w:vAlign w:val="bottom"/>
          </w:tcPr>
          <w:p w:rsidR="007B330D" w:rsidRPr="00227C94" w:rsidRDefault="007B330D" w:rsidP="00127D09">
            <w:pPr>
              <w:pStyle w:val="tblNumber01"/>
            </w:pPr>
          </w:p>
        </w:tc>
        <w:tc>
          <w:tcPr>
            <w:tcW w:w="1417" w:type="dxa"/>
            <w:tcBorders>
              <w:top w:val="nil"/>
              <w:left w:val="nil"/>
              <w:right w:val="nil"/>
            </w:tcBorders>
            <w:vAlign w:val="bottom"/>
          </w:tcPr>
          <w:p w:rsidR="007B330D" w:rsidRPr="00227C94" w:rsidRDefault="007B330D" w:rsidP="00127D09">
            <w:pPr>
              <w:pStyle w:val="tblNumber01"/>
            </w:pPr>
            <w:r w:rsidRPr="00227C94">
              <w:t>4</w:t>
            </w:r>
          </w:p>
        </w:tc>
        <w:tc>
          <w:tcPr>
            <w:tcW w:w="113" w:type="dxa"/>
            <w:tcBorders>
              <w:top w:val="nil"/>
              <w:left w:val="nil"/>
              <w:bottom w:val="nil"/>
              <w:right w:val="nil"/>
            </w:tcBorders>
            <w:vAlign w:val="bottom"/>
          </w:tcPr>
          <w:p w:rsidR="007B330D" w:rsidRPr="00227C94" w:rsidRDefault="007B330D" w:rsidP="00127D09">
            <w:pPr>
              <w:pStyle w:val="tblNumber01"/>
            </w:pPr>
          </w:p>
        </w:tc>
      </w:tr>
      <w:tr w:rsidR="007B330D" w:rsidRPr="00227C94" w:rsidTr="007B330D">
        <w:trPr>
          <w:cantSplit/>
        </w:trPr>
        <w:tc>
          <w:tcPr>
            <w:tcW w:w="3919" w:type="dxa"/>
            <w:tcBorders>
              <w:top w:val="nil"/>
              <w:left w:val="nil"/>
              <w:right w:val="nil"/>
            </w:tcBorders>
          </w:tcPr>
          <w:p w:rsidR="007B330D" w:rsidRPr="00227C94" w:rsidRDefault="007B330D" w:rsidP="00127D09">
            <w:pPr>
              <w:pStyle w:val="tblText02"/>
              <w:rPr>
                <w:w w:val="0"/>
              </w:rPr>
            </w:pPr>
            <w:r w:rsidRPr="00227C94">
              <w:rPr>
                <w:w w:val="0"/>
              </w:rPr>
              <w:t>Other non-current liabilities</w:t>
            </w:r>
          </w:p>
        </w:tc>
        <w:tc>
          <w:tcPr>
            <w:tcW w:w="1701" w:type="dxa"/>
            <w:tcBorders>
              <w:top w:val="nil"/>
              <w:left w:val="nil"/>
              <w:bottom w:val="single" w:sz="6" w:space="0" w:color="auto"/>
              <w:right w:val="nil"/>
            </w:tcBorders>
            <w:shd w:val="clear" w:color="auto" w:fill="auto"/>
            <w:vAlign w:val="bottom"/>
          </w:tcPr>
          <w:p w:rsidR="007B330D" w:rsidRPr="00227C94" w:rsidRDefault="007B330D" w:rsidP="00127D09">
            <w:pPr>
              <w:pStyle w:val="tblNumber01"/>
            </w:pPr>
            <w:r w:rsidRPr="00227C94">
              <w:t>22,854</w:t>
            </w:r>
          </w:p>
        </w:tc>
        <w:tc>
          <w:tcPr>
            <w:tcW w:w="113" w:type="dxa"/>
            <w:tcBorders>
              <w:top w:val="nil"/>
              <w:left w:val="nil"/>
              <w:right w:val="nil"/>
            </w:tcBorders>
            <w:vAlign w:val="bottom"/>
          </w:tcPr>
          <w:p w:rsidR="007B330D" w:rsidRPr="00227C94" w:rsidRDefault="007B330D" w:rsidP="00127D09">
            <w:pPr>
              <w:pStyle w:val="tblNumber01"/>
            </w:pPr>
          </w:p>
        </w:tc>
        <w:tc>
          <w:tcPr>
            <w:tcW w:w="1588" w:type="dxa"/>
            <w:tcBorders>
              <w:top w:val="nil"/>
              <w:left w:val="nil"/>
              <w:bottom w:val="single" w:sz="6" w:space="0" w:color="auto"/>
              <w:right w:val="nil"/>
            </w:tcBorders>
            <w:shd w:val="clear" w:color="auto" w:fill="auto"/>
            <w:vAlign w:val="bottom"/>
          </w:tcPr>
          <w:p w:rsidR="007B330D" w:rsidRPr="00227C94" w:rsidRDefault="007B330D" w:rsidP="00127D09">
            <w:pPr>
              <w:pStyle w:val="tblNumber01"/>
            </w:pPr>
            <w:r w:rsidRPr="00227C94">
              <w:t>24,008</w:t>
            </w:r>
          </w:p>
        </w:tc>
        <w:tc>
          <w:tcPr>
            <w:tcW w:w="113" w:type="dxa"/>
            <w:tcBorders>
              <w:top w:val="nil"/>
              <w:left w:val="nil"/>
              <w:right w:val="nil"/>
            </w:tcBorders>
            <w:vAlign w:val="bottom"/>
          </w:tcPr>
          <w:p w:rsidR="007B330D" w:rsidRPr="00227C94" w:rsidRDefault="007B330D" w:rsidP="00127D09">
            <w:pPr>
              <w:pStyle w:val="tblNumber01"/>
            </w:pPr>
          </w:p>
        </w:tc>
        <w:tc>
          <w:tcPr>
            <w:tcW w:w="1417" w:type="dxa"/>
            <w:tcBorders>
              <w:top w:val="nil"/>
              <w:left w:val="nil"/>
              <w:bottom w:val="single" w:sz="6" w:space="0" w:color="auto"/>
              <w:right w:val="nil"/>
            </w:tcBorders>
            <w:shd w:val="clear" w:color="auto" w:fill="auto"/>
            <w:vAlign w:val="bottom"/>
          </w:tcPr>
          <w:p w:rsidR="007B330D" w:rsidRPr="00227C94" w:rsidRDefault="007B330D" w:rsidP="00127D09">
            <w:pPr>
              <w:pStyle w:val="tblNumber00"/>
            </w:pPr>
            <w:r w:rsidRPr="00227C94">
              <w:t>(5)</w:t>
            </w:r>
          </w:p>
        </w:tc>
        <w:tc>
          <w:tcPr>
            <w:tcW w:w="113" w:type="dxa"/>
            <w:tcBorders>
              <w:top w:val="nil"/>
              <w:left w:val="nil"/>
              <w:right w:val="nil"/>
            </w:tcBorders>
            <w:vAlign w:val="bottom"/>
          </w:tcPr>
          <w:p w:rsidR="007B330D" w:rsidRPr="00227C94" w:rsidRDefault="007B330D" w:rsidP="00127D09">
            <w:pPr>
              <w:pStyle w:val="tblNumber01"/>
            </w:pPr>
          </w:p>
        </w:tc>
      </w:tr>
      <w:tr w:rsidR="007B330D" w:rsidRPr="00227C94" w:rsidTr="007B330D">
        <w:trPr>
          <w:cantSplit/>
          <w:trHeight w:hRule="exact" w:val="113"/>
        </w:trPr>
        <w:tc>
          <w:tcPr>
            <w:tcW w:w="3919" w:type="dxa"/>
            <w:tcBorders>
              <w:top w:val="nil"/>
              <w:left w:val="nil"/>
              <w:right w:val="nil"/>
            </w:tcBorders>
          </w:tcPr>
          <w:p w:rsidR="007B330D" w:rsidRPr="00227C94" w:rsidRDefault="007B330D" w:rsidP="00127D09">
            <w:pPr>
              <w:pStyle w:val="tblText02"/>
              <w:rPr>
                <w:w w:val="0"/>
              </w:rPr>
            </w:pPr>
          </w:p>
        </w:tc>
        <w:tc>
          <w:tcPr>
            <w:tcW w:w="1701" w:type="dxa"/>
            <w:tcBorders>
              <w:top w:val="single" w:sz="6" w:space="0" w:color="auto"/>
              <w:left w:val="nil"/>
              <w:right w:val="nil"/>
            </w:tcBorders>
            <w:shd w:val="clear" w:color="auto" w:fill="auto"/>
            <w:vAlign w:val="bottom"/>
          </w:tcPr>
          <w:p w:rsidR="007B330D" w:rsidRPr="00227C94" w:rsidRDefault="007B330D" w:rsidP="00127D09">
            <w:pPr>
              <w:pStyle w:val="tblNumber01"/>
            </w:pPr>
          </w:p>
        </w:tc>
        <w:tc>
          <w:tcPr>
            <w:tcW w:w="113" w:type="dxa"/>
            <w:tcBorders>
              <w:top w:val="nil"/>
              <w:left w:val="nil"/>
              <w:right w:val="nil"/>
            </w:tcBorders>
            <w:vAlign w:val="bottom"/>
          </w:tcPr>
          <w:p w:rsidR="007B330D" w:rsidRPr="00227C94" w:rsidRDefault="007B330D" w:rsidP="00127D09">
            <w:pPr>
              <w:pStyle w:val="tblNumber01"/>
            </w:pPr>
          </w:p>
        </w:tc>
        <w:tc>
          <w:tcPr>
            <w:tcW w:w="1588" w:type="dxa"/>
            <w:tcBorders>
              <w:top w:val="single" w:sz="6" w:space="0" w:color="auto"/>
              <w:left w:val="nil"/>
              <w:right w:val="nil"/>
            </w:tcBorders>
            <w:shd w:val="clear" w:color="auto" w:fill="auto"/>
            <w:vAlign w:val="bottom"/>
          </w:tcPr>
          <w:p w:rsidR="007B330D" w:rsidRPr="00227C94" w:rsidRDefault="007B330D" w:rsidP="00127D09">
            <w:pPr>
              <w:pStyle w:val="tblNumber01"/>
            </w:pPr>
          </w:p>
        </w:tc>
        <w:tc>
          <w:tcPr>
            <w:tcW w:w="113" w:type="dxa"/>
            <w:tcBorders>
              <w:top w:val="nil"/>
              <w:left w:val="nil"/>
              <w:right w:val="nil"/>
            </w:tcBorders>
            <w:vAlign w:val="bottom"/>
          </w:tcPr>
          <w:p w:rsidR="007B330D" w:rsidRPr="00227C94" w:rsidRDefault="007B330D" w:rsidP="00127D09">
            <w:pPr>
              <w:pStyle w:val="tblNumber01"/>
            </w:pPr>
          </w:p>
        </w:tc>
        <w:tc>
          <w:tcPr>
            <w:tcW w:w="1417" w:type="dxa"/>
            <w:tcBorders>
              <w:top w:val="single" w:sz="6" w:space="0" w:color="auto"/>
              <w:left w:val="nil"/>
              <w:right w:val="nil"/>
            </w:tcBorders>
            <w:shd w:val="clear" w:color="auto" w:fill="auto"/>
            <w:vAlign w:val="bottom"/>
          </w:tcPr>
          <w:p w:rsidR="007B330D" w:rsidRPr="00227C94" w:rsidRDefault="007B330D" w:rsidP="00127D09">
            <w:pPr>
              <w:pStyle w:val="tblNumber00"/>
            </w:pPr>
          </w:p>
        </w:tc>
        <w:tc>
          <w:tcPr>
            <w:tcW w:w="113" w:type="dxa"/>
            <w:tcBorders>
              <w:top w:val="nil"/>
              <w:left w:val="nil"/>
              <w:right w:val="nil"/>
            </w:tcBorders>
            <w:vAlign w:val="bottom"/>
          </w:tcPr>
          <w:p w:rsidR="007B330D" w:rsidRPr="00227C94" w:rsidRDefault="007B330D" w:rsidP="00127D09">
            <w:pPr>
              <w:pStyle w:val="tblNumber01"/>
            </w:pPr>
          </w:p>
        </w:tc>
      </w:tr>
      <w:tr w:rsidR="007B330D" w:rsidRPr="00227C94" w:rsidTr="007B330D">
        <w:trPr>
          <w:cantSplit/>
        </w:trPr>
        <w:tc>
          <w:tcPr>
            <w:tcW w:w="3919" w:type="dxa"/>
            <w:tcBorders>
              <w:top w:val="nil"/>
              <w:left w:val="nil"/>
              <w:bottom w:val="nil"/>
              <w:right w:val="nil"/>
            </w:tcBorders>
          </w:tcPr>
          <w:p w:rsidR="007B330D" w:rsidRPr="00227C94" w:rsidRDefault="007B330D" w:rsidP="00127D09">
            <w:pPr>
              <w:pStyle w:val="tblText02"/>
              <w:rPr>
                <w:b/>
                <w:w w:val="0"/>
              </w:rPr>
            </w:pPr>
            <w:r w:rsidRPr="00227C94">
              <w:rPr>
                <w:b/>
                <w:w w:val="0"/>
              </w:rPr>
              <w:t>Total non-current liabilities</w:t>
            </w:r>
          </w:p>
        </w:tc>
        <w:tc>
          <w:tcPr>
            <w:tcW w:w="1701" w:type="dxa"/>
            <w:tcBorders>
              <w:top w:val="nil"/>
              <w:left w:val="nil"/>
              <w:bottom w:val="double" w:sz="6" w:space="0" w:color="auto"/>
              <w:right w:val="nil"/>
            </w:tcBorders>
            <w:shd w:val="clear" w:color="auto" w:fill="auto"/>
            <w:vAlign w:val="bottom"/>
          </w:tcPr>
          <w:p w:rsidR="007B330D" w:rsidRPr="00227C94" w:rsidRDefault="007B330D" w:rsidP="00127D09">
            <w:pPr>
              <w:pStyle w:val="tblNumber01"/>
              <w:rPr>
                <w:b/>
              </w:rPr>
            </w:pPr>
            <w:r w:rsidRPr="00227C94">
              <w:rPr>
                <w:b/>
              </w:rPr>
              <w:t>662,252</w:t>
            </w:r>
          </w:p>
        </w:tc>
        <w:tc>
          <w:tcPr>
            <w:tcW w:w="113" w:type="dxa"/>
            <w:tcBorders>
              <w:top w:val="nil"/>
              <w:left w:val="nil"/>
              <w:bottom w:val="nil"/>
              <w:right w:val="nil"/>
            </w:tcBorders>
            <w:vAlign w:val="bottom"/>
          </w:tcPr>
          <w:p w:rsidR="007B330D" w:rsidRPr="00227C94" w:rsidRDefault="007B330D" w:rsidP="00127D09">
            <w:pPr>
              <w:pStyle w:val="tblNumber01"/>
            </w:pPr>
          </w:p>
        </w:tc>
        <w:tc>
          <w:tcPr>
            <w:tcW w:w="1588" w:type="dxa"/>
            <w:tcBorders>
              <w:top w:val="nil"/>
              <w:left w:val="nil"/>
              <w:bottom w:val="double" w:sz="6" w:space="0" w:color="auto"/>
              <w:right w:val="nil"/>
            </w:tcBorders>
            <w:shd w:val="clear" w:color="auto" w:fill="auto"/>
            <w:vAlign w:val="bottom"/>
          </w:tcPr>
          <w:p w:rsidR="007B330D" w:rsidRPr="00227C94" w:rsidRDefault="007B330D" w:rsidP="00127D09">
            <w:pPr>
              <w:pStyle w:val="tblNumber01"/>
              <w:rPr>
                <w:b/>
              </w:rPr>
            </w:pPr>
            <w:r w:rsidRPr="00227C94">
              <w:rPr>
                <w:b/>
              </w:rPr>
              <w:t>477,673</w:t>
            </w:r>
          </w:p>
        </w:tc>
        <w:tc>
          <w:tcPr>
            <w:tcW w:w="113" w:type="dxa"/>
            <w:tcBorders>
              <w:top w:val="nil"/>
              <w:left w:val="nil"/>
              <w:bottom w:val="nil"/>
              <w:right w:val="nil"/>
            </w:tcBorders>
            <w:vAlign w:val="bottom"/>
          </w:tcPr>
          <w:p w:rsidR="007B330D" w:rsidRPr="00227C94" w:rsidRDefault="007B330D" w:rsidP="00127D09">
            <w:pPr>
              <w:pStyle w:val="tblNumber01"/>
            </w:pPr>
          </w:p>
        </w:tc>
        <w:tc>
          <w:tcPr>
            <w:tcW w:w="1417" w:type="dxa"/>
            <w:tcBorders>
              <w:top w:val="nil"/>
              <w:left w:val="nil"/>
              <w:bottom w:val="double" w:sz="6" w:space="0" w:color="auto"/>
              <w:right w:val="nil"/>
            </w:tcBorders>
            <w:shd w:val="clear" w:color="auto" w:fill="auto"/>
            <w:vAlign w:val="bottom"/>
          </w:tcPr>
          <w:p w:rsidR="007B330D" w:rsidRPr="00227C94" w:rsidRDefault="007B330D" w:rsidP="00127D09">
            <w:pPr>
              <w:pStyle w:val="tblNumber01"/>
              <w:rPr>
                <w:b/>
              </w:rPr>
            </w:pPr>
            <w:r w:rsidRPr="00227C94">
              <w:rPr>
                <w:b/>
              </w:rPr>
              <w:t>39</w:t>
            </w:r>
          </w:p>
        </w:tc>
        <w:tc>
          <w:tcPr>
            <w:tcW w:w="113" w:type="dxa"/>
            <w:tcBorders>
              <w:top w:val="nil"/>
              <w:left w:val="nil"/>
              <w:bottom w:val="nil"/>
              <w:right w:val="nil"/>
            </w:tcBorders>
            <w:vAlign w:val="bottom"/>
          </w:tcPr>
          <w:p w:rsidR="007B330D" w:rsidRPr="00227C94" w:rsidRDefault="007B330D" w:rsidP="00127D09">
            <w:pPr>
              <w:pStyle w:val="tblNumber01"/>
            </w:pPr>
          </w:p>
        </w:tc>
      </w:tr>
    </w:tbl>
    <w:p w:rsidR="00127D09" w:rsidRPr="00227C94" w:rsidRDefault="00127D09" w:rsidP="00127D09">
      <w:pPr>
        <w:pStyle w:val="23"/>
        <w:spacing w:line="180" w:lineRule="exact"/>
        <w:rPr>
          <w:color w:val="auto"/>
          <w:w w:val="0"/>
          <w:lang w:val="en-US"/>
        </w:rPr>
      </w:pPr>
    </w:p>
    <w:p w:rsidR="00127D09" w:rsidRPr="00227C94" w:rsidRDefault="00127D09" w:rsidP="00127D09">
      <w:pPr>
        <w:pStyle w:val="23"/>
        <w:spacing w:line="180" w:lineRule="exact"/>
        <w:rPr>
          <w:color w:val="auto"/>
          <w:w w:val="0"/>
          <w:lang w:val="en-US"/>
        </w:rPr>
      </w:pPr>
    </w:p>
    <w:p w:rsidR="00916675" w:rsidRPr="00227C94" w:rsidRDefault="00916675" w:rsidP="00127D09">
      <w:pPr>
        <w:pStyle w:val="23"/>
        <w:rPr>
          <w:color w:val="auto"/>
          <w:w w:val="0"/>
          <w:lang w:val="en-US"/>
        </w:rPr>
      </w:pPr>
      <w:r w:rsidRPr="00227C94">
        <w:rPr>
          <w:color w:val="auto"/>
          <w:spacing w:val="-2"/>
          <w:w w:val="0"/>
          <w:lang w:val="en-US"/>
        </w:rPr>
        <w:t xml:space="preserve">There was no significant change in site restoration and environmental obligations during the reporting </w:t>
      </w:r>
      <w:r w:rsidRPr="00227C94">
        <w:rPr>
          <w:color w:val="auto"/>
          <w:w w:val="0"/>
          <w:lang w:val="en-US"/>
        </w:rPr>
        <w:t>period. The Group sold assets in Romania which bear environmental obligations in the amount of USD5</w:t>
      </w:r>
      <w:proofErr w:type="gramStart"/>
      <w:r w:rsidRPr="00227C94">
        <w:rPr>
          <w:color w:val="auto"/>
          <w:w w:val="0"/>
          <w:lang w:val="en-US"/>
        </w:rPr>
        <w:t>,022</w:t>
      </w:r>
      <w:proofErr w:type="gramEnd"/>
      <w:r w:rsidRPr="00227C94">
        <w:rPr>
          <w:color w:val="auto"/>
          <w:w w:val="0"/>
          <w:lang w:val="en-US"/>
        </w:rPr>
        <w:t xml:space="preserve"> thousand, which was fully offset by unwinding of discount rates applicable to these obligations in the amount of USD6,102 thousand.</w:t>
      </w:r>
    </w:p>
    <w:p w:rsidR="00127D09" w:rsidRPr="00227C94" w:rsidRDefault="00127D09" w:rsidP="00127D09">
      <w:pPr>
        <w:pStyle w:val="23"/>
        <w:spacing w:line="180" w:lineRule="exact"/>
        <w:rPr>
          <w:color w:val="auto"/>
          <w:w w:val="0"/>
          <w:lang w:val="en-US"/>
        </w:rPr>
      </w:pPr>
    </w:p>
    <w:p w:rsidR="00916675" w:rsidRPr="00227C94" w:rsidRDefault="00916675" w:rsidP="00127D09">
      <w:pPr>
        <w:pStyle w:val="23"/>
        <w:rPr>
          <w:color w:val="auto"/>
          <w:lang w:val="en-US"/>
        </w:rPr>
      </w:pPr>
      <w:r w:rsidRPr="00227C94">
        <w:rPr>
          <w:color w:val="auto"/>
          <w:w w:val="0"/>
          <w:lang w:val="en-US"/>
        </w:rPr>
        <w:t xml:space="preserve">Long-term borrowings of the Group at the reporting date were represented </w:t>
      </w:r>
      <w:bookmarkStart w:id="347" w:name="_DV_C225"/>
      <w:r w:rsidRPr="00227C94">
        <w:rPr>
          <w:color w:val="auto"/>
          <w:w w:val="0"/>
          <w:lang w:val="en-US"/>
        </w:rPr>
        <w:t xml:space="preserve">by </w:t>
      </w:r>
      <w:bookmarkStart w:id="348" w:name="_DV_M359"/>
      <w:bookmarkEnd w:id="347"/>
      <w:bookmarkEnd w:id="348"/>
      <w:r w:rsidRPr="00227C94">
        <w:rPr>
          <w:color w:val="auto"/>
          <w:w w:val="0"/>
          <w:lang w:val="en-US"/>
        </w:rPr>
        <w:t xml:space="preserve">USD100 million loan from Societe Generale due in October 2014 (50% of this loan transferred to Unicredit Bank on </w:t>
      </w:r>
      <w:r w:rsidR="00127D09" w:rsidRPr="00227C94">
        <w:rPr>
          <w:color w:val="auto"/>
          <w:w w:val="0"/>
          <w:lang w:val="en-US"/>
        </w:rPr>
        <w:br/>
      </w:r>
      <w:r w:rsidRPr="00227C94">
        <w:rPr>
          <w:color w:val="auto"/>
          <w:w w:val="0"/>
          <w:lang w:val="en-US"/>
        </w:rPr>
        <w:t xml:space="preserve">06 October 2011), loans payable to Gold Lion, previously PGIL’s major shareholder, due in November 2014, USD100 million loan from HSBC and USD100 million loan from Unicredit Bank. </w:t>
      </w:r>
      <w:bookmarkStart w:id="349" w:name="_DV_M361"/>
      <w:bookmarkEnd w:id="349"/>
      <w:r w:rsidRPr="00227C94">
        <w:rPr>
          <w:color w:val="auto"/>
          <w:w w:val="0"/>
          <w:lang w:val="en-US"/>
        </w:rPr>
        <w:t xml:space="preserve">Societe Generale credit facility is provided to OJSC Pervenets (the Irkutsk ore business unit) and assigned </w:t>
      </w:r>
      <w:r w:rsidRPr="00227C94">
        <w:rPr>
          <w:color w:val="auto"/>
          <w:lang w:val="en-US"/>
        </w:rPr>
        <w:t>for general corporate purposes, including repayment of intra-group loan to CJSC Polyus and capital expenditures</w:t>
      </w:r>
      <w:r w:rsidRPr="00227C94">
        <w:rPr>
          <w:color w:val="auto"/>
          <w:w w:val="0"/>
          <w:lang w:val="en-US"/>
        </w:rPr>
        <w:t xml:space="preserve">. The sum due under the loans payable to Gold Lion at 30 June 2012 was </w:t>
      </w:r>
      <w:r w:rsidRPr="00227C94">
        <w:rPr>
          <w:color w:val="auto"/>
          <w:spacing w:val="-4"/>
          <w:w w:val="0"/>
          <w:lang w:val="en-US"/>
        </w:rPr>
        <w:t>USD37</w:t>
      </w:r>
      <w:proofErr w:type="gramStart"/>
      <w:r w:rsidRPr="00227C94">
        <w:rPr>
          <w:color w:val="auto"/>
          <w:spacing w:val="-4"/>
          <w:w w:val="0"/>
          <w:lang w:val="en-US"/>
        </w:rPr>
        <w:t>,072</w:t>
      </w:r>
      <w:proofErr w:type="gramEnd"/>
      <w:r w:rsidRPr="00227C94">
        <w:rPr>
          <w:color w:val="auto"/>
          <w:spacing w:val="-4"/>
          <w:w w:val="0"/>
          <w:lang w:val="en-US"/>
        </w:rPr>
        <w:t xml:space="preserve"> thousand (USD34,160 thousand at 31 December 2011)</w:t>
      </w:r>
      <w:r w:rsidRPr="00227C94">
        <w:rPr>
          <w:color w:val="auto"/>
          <w:spacing w:val="-4"/>
          <w:lang w:val="en-US"/>
        </w:rPr>
        <w:t xml:space="preserve">. The level of borrowings significantly </w:t>
      </w:r>
      <w:r w:rsidRPr="00227C94">
        <w:rPr>
          <w:color w:val="auto"/>
          <w:lang w:val="en-US"/>
        </w:rPr>
        <w:t xml:space="preserve">increased within the last 12 months: 280% increase from 30 June 2011 to 31 December 2011, and </w:t>
      </w:r>
      <w:r w:rsidRPr="00227C94">
        <w:rPr>
          <w:color w:val="auto"/>
          <w:spacing w:val="-3"/>
          <w:lang w:val="en-US"/>
        </w:rPr>
        <w:t xml:space="preserve">60% from 30 June 2011 to 30 June 2012. This relates to the Mandatory Tender Offer in November 2011 </w:t>
      </w:r>
      <w:r w:rsidRPr="00227C94">
        <w:rPr>
          <w:color w:val="auto"/>
          <w:lang w:val="en-US"/>
        </w:rPr>
        <w:t xml:space="preserve">financed through two bridge facilities with a total consideration of USD460,000 thousand, as well as </w:t>
      </w:r>
      <w:r w:rsidRPr="00227C94">
        <w:rPr>
          <w:color w:val="auto"/>
          <w:spacing w:val="-5"/>
          <w:lang w:val="en-US"/>
        </w:rPr>
        <w:t xml:space="preserve">following loans from Societe Generale, Unicredit and HSBC with a consideration of USD100,000 thousand </w:t>
      </w:r>
      <w:r w:rsidRPr="00227C94">
        <w:rPr>
          <w:color w:val="auto"/>
          <w:lang w:val="en-US"/>
        </w:rPr>
        <w:t>each. Senior Notes were redeemed in March 2012, both bridge facilities redeemed in May 2012.</w:t>
      </w:r>
    </w:p>
    <w:p w:rsidR="00127D09" w:rsidRPr="00227C94" w:rsidRDefault="00127D09" w:rsidP="00127D09">
      <w:pPr>
        <w:pStyle w:val="23"/>
        <w:spacing w:line="180" w:lineRule="exact"/>
        <w:rPr>
          <w:color w:val="auto"/>
          <w:lang w:val="en-US"/>
        </w:rPr>
      </w:pPr>
    </w:p>
    <w:p w:rsidR="00916675" w:rsidRPr="00227C94" w:rsidRDefault="00916675" w:rsidP="00127D09">
      <w:pPr>
        <w:pStyle w:val="23"/>
        <w:rPr>
          <w:color w:val="auto"/>
          <w:spacing w:val="-2"/>
          <w:lang w:val="en-US"/>
        </w:rPr>
      </w:pPr>
      <w:r w:rsidRPr="00227C94">
        <w:rPr>
          <w:rFonts w:cs="Arial"/>
          <w:color w:val="auto"/>
          <w:lang w:val="en-US"/>
        </w:rPr>
        <w:t xml:space="preserve">The Group also has a number of unused credit facilities: </w:t>
      </w:r>
      <w:r w:rsidRPr="00227C94">
        <w:rPr>
          <w:color w:val="auto"/>
          <w:lang w:val="en-US"/>
        </w:rPr>
        <w:t xml:space="preserve">a three year RUB10 billion (approximately </w:t>
      </w:r>
      <w:r w:rsidRPr="00227C94">
        <w:rPr>
          <w:color w:val="auto"/>
          <w:spacing w:val="-2"/>
          <w:lang w:val="en-US"/>
        </w:rPr>
        <w:t>USD305 million) credit line with VTB to fund its general corporate purposes, and USD67</w:t>
      </w:r>
      <w:proofErr w:type="gramStart"/>
      <w:r w:rsidRPr="00227C94">
        <w:rPr>
          <w:color w:val="auto"/>
          <w:spacing w:val="-2"/>
          <w:lang w:val="en-US"/>
        </w:rPr>
        <w:t>,502</w:t>
      </w:r>
      <w:proofErr w:type="gramEnd"/>
      <w:r w:rsidRPr="00227C94">
        <w:rPr>
          <w:color w:val="auto"/>
          <w:spacing w:val="-2"/>
          <w:lang w:val="en-US"/>
        </w:rPr>
        <w:t xml:space="preserve"> thousand export financing credit facility agreement with Societe Generale.</w:t>
      </w:r>
    </w:p>
    <w:p w:rsidR="00127D09" w:rsidRPr="00227C94" w:rsidRDefault="00127D09" w:rsidP="00127D09">
      <w:pPr>
        <w:pStyle w:val="23"/>
        <w:spacing w:line="180" w:lineRule="exact"/>
        <w:rPr>
          <w:rFonts w:cs="Arial"/>
          <w:color w:val="auto"/>
          <w:w w:val="0"/>
          <w:lang w:val="en-US"/>
        </w:rPr>
      </w:pPr>
    </w:p>
    <w:p w:rsidR="00916675" w:rsidRPr="00227C94" w:rsidRDefault="00916675" w:rsidP="00127D09">
      <w:pPr>
        <w:pStyle w:val="23"/>
        <w:rPr>
          <w:color w:val="auto"/>
          <w:w w:val="0"/>
          <w:lang w:val="en-US"/>
        </w:rPr>
      </w:pPr>
      <w:bookmarkStart w:id="350" w:name="_DV_M362"/>
      <w:bookmarkStart w:id="351" w:name="_DV_M365"/>
      <w:bookmarkEnd w:id="350"/>
      <w:bookmarkEnd w:id="351"/>
      <w:r w:rsidRPr="00227C94">
        <w:rPr>
          <w:color w:val="auto"/>
          <w:w w:val="0"/>
          <w:lang w:val="en-US"/>
        </w:rPr>
        <w:t>Deferred tax liabilities increased from USD180,741 thousand at 31 December 2011 to USD187,139 thousand at 30 June 2012, which was also primarily due to the effect of the rouble depreciation.</w:t>
      </w:r>
    </w:p>
    <w:p w:rsidR="00127D09" w:rsidRPr="00227C94" w:rsidRDefault="00127D09" w:rsidP="00127D09">
      <w:pPr>
        <w:pStyle w:val="23"/>
        <w:spacing w:line="180" w:lineRule="exact"/>
        <w:rPr>
          <w:color w:val="auto"/>
          <w:w w:val="0"/>
          <w:lang w:val="en-US"/>
        </w:rPr>
      </w:pPr>
    </w:p>
    <w:p w:rsidR="00916675" w:rsidRPr="00227C94" w:rsidRDefault="00916675" w:rsidP="00127D09">
      <w:pPr>
        <w:pStyle w:val="31"/>
        <w:rPr>
          <w:w w:val="0"/>
        </w:rPr>
      </w:pPr>
      <w:bookmarkStart w:id="352" w:name="_DV_M366"/>
      <w:bookmarkStart w:id="353" w:name="_DV_M367"/>
      <w:bookmarkEnd w:id="352"/>
      <w:bookmarkEnd w:id="353"/>
      <w:r w:rsidRPr="00227C94">
        <w:rPr>
          <w:w w:val="0"/>
        </w:rPr>
        <w:t>Current liabilities</w:t>
      </w:r>
    </w:p>
    <w:p w:rsidR="00127D09" w:rsidRPr="00227C94" w:rsidRDefault="00127D09" w:rsidP="00127D09">
      <w:pPr>
        <w:pStyle w:val="23"/>
        <w:spacing w:line="180" w:lineRule="exact"/>
        <w:rPr>
          <w:color w:val="auto"/>
          <w:w w:val="0"/>
          <w:lang w:val="en-US"/>
        </w:rPr>
      </w:pPr>
      <w:bookmarkStart w:id="354" w:name="_DV_M368"/>
      <w:bookmarkStart w:id="355" w:name="_DV_M369"/>
      <w:bookmarkEnd w:id="354"/>
      <w:bookmarkEnd w:id="355"/>
    </w:p>
    <w:p w:rsidR="00916675" w:rsidRPr="00227C94" w:rsidRDefault="00916675" w:rsidP="00127D09">
      <w:pPr>
        <w:pStyle w:val="23"/>
        <w:rPr>
          <w:color w:val="auto"/>
          <w:spacing w:val="-2"/>
          <w:w w:val="0"/>
          <w:lang w:val="en-US"/>
        </w:rPr>
      </w:pPr>
      <w:r w:rsidRPr="00227C94">
        <w:rPr>
          <w:color w:val="auto"/>
          <w:spacing w:val="-2"/>
          <w:w w:val="0"/>
          <w:lang w:val="en-US"/>
        </w:rPr>
        <w:t>Current liabilities include short-term borrowings, trade and other payables and accrued expenses and taxes payable. In the reporting period current liabilities decreased by 64% from USD910</w:t>
      </w:r>
      <w:proofErr w:type="gramStart"/>
      <w:r w:rsidRPr="00227C94">
        <w:rPr>
          <w:color w:val="auto"/>
          <w:spacing w:val="-2"/>
          <w:w w:val="0"/>
          <w:lang w:val="en-US"/>
        </w:rPr>
        <w:t>,665</w:t>
      </w:r>
      <w:proofErr w:type="gramEnd"/>
      <w:r w:rsidRPr="00227C94">
        <w:rPr>
          <w:color w:val="auto"/>
          <w:spacing w:val="-2"/>
          <w:w w:val="0"/>
          <w:lang w:val="en-US"/>
        </w:rPr>
        <w:t xml:space="preserve"> thousand at 31 December 2011 to USD330,875 thousand at 30 June 2012 due to the decrease in borrowings.</w:t>
      </w:r>
    </w:p>
    <w:p w:rsidR="00127D09" w:rsidRPr="00227C94" w:rsidRDefault="00127D09" w:rsidP="00127D09">
      <w:pPr>
        <w:pStyle w:val="23"/>
        <w:spacing w:line="180" w:lineRule="exact"/>
        <w:rPr>
          <w:color w:val="auto"/>
          <w:w w:val="0"/>
          <w:lang w:val="en-US"/>
        </w:rPr>
      </w:pPr>
    </w:p>
    <w:p w:rsidR="00916675" w:rsidRPr="00227C94" w:rsidRDefault="00916675" w:rsidP="00127D09">
      <w:pPr>
        <w:pStyle w:val="23"/>
        <w:rPr>
          <w:color w:val="auto"/>
          <w:spacing w:val="-2"/>
          <w:lang w:val="en-US"/>
        </w:rPr>
      </w:pPr>
      <w:r w:rsidRPr="00227C94">
        <w:rPr>
          <w:color w:val="auto"/>
          <w:w w:val="0"/>
          <w:lang w:val="en-US"/>
        </w:rPr>
        <w:t>Short-term borrowings decreased 95% from USD675</w:t>
      </w:r>
      <w:proofErr w:type="gramStart"/>
      <w:r w:rsidRPr="00227C94">
        <w:rPr>
          <w:color w:val="auto"/>
          <w:w w:val="0"/>
          <w:lang w:val="en-US"/>
        </w:rPr>
        <w:t>,632</w:t>
      </w:r>
      <w:proofErr w:type="gramEnd"/>
      <w:r w:rsidRPr="00227C94">
        <w:rPr>
          <w:color w:val="auto"/>
          <w:w w:val="0"/>
          <w:lang w:val="en-US"/>
        </w:rPr>
        <w:t xml:space="preserve"> thousand at 31 December 2011 to </w:t>
      </w:r>
      <w:r w:rsidRPr="00227C94">
        <w:rPr>
          <w:color w:val="auto"/>
          <w:spacing w:val="-2"/>
          <w:w w:val="0"/>
          <w:lang w:val="en-US"/>
        </w:rPr>
        <w:t xml:space="preserve">USD33,333 thousand at 30 June 2012. At the beginning of the reporting period short-term borrowings </w:t>
      </w:r>
      <w:r w:rsidRPr="00227C94">
        <w:rPr>
          <w:color w:val="auto"/>
          <w:w w:val="0"/>
          <w:lang w:val="en-US"/>
        </w:rPr>
        <w:t xml:space="preserve">were presented mainly with USD200 million Senior Notes and USD460 million bridge facilities from Societe Generale and VTB bank. Following the acquisition of a controlling stake in PGIL, </w:t>
      </w:r>
      <w:r w:rsidRPr="00227C94">
        <w:rPr>
          <w:color w:val="auto"/>
          <w:lang w:val="en-US"/>
        </w:rPr>
        <w:t xml:space="preserve">the liability under </w:t>
      </w:r>
      <w:r w:rsidRPr="00227C94">
        <w:rPr>
          <w:color w:val="auto"/>
          <w:w w:val="0"/>
          <w:lang w:val="en-US"/>
        </w:rPr>
        <w:t xml:space="preserve">Senior Notes </w:t>
      </w:r>
      <w:r w:rsidRPr="00227C94">
        <w:rPr>
          <w:color w:val="auto"/>
          <w:lang w:val="en-US"/>
        </w:rPr>
        <w:t>was reflected in the Group’s statement of financial position at fair value at the acquisition date and carried at amortised cost</w:t>
      </w:r>
      <w:r w:rsidRPr="00227C94">
        <w:rPr>
          <w:color w:val="auto"/>
          <w:w w:val="0"/>
          <w:lang w:val="en-US"/>
        </w:rPr>
        <w:t xml:space="preserve">. </w:t>
      </w:r>
      <w:r w:rsidRPr="00227C94">
        <w:rPr>
          <w:color w:val="auto"/>
          <w:lang w:val="en-US"/>
        </w:rPr>
        <w:t xml:space="preserve">Senior Notes were redeemed in March 2012, both </w:t>
      </w:r>
      <w:r w:rsidRPr="00227C94">
        <w:rPr>
          <w:color w:val="auto"/>
          <w:spacing w:val="-2"/>
          <w:lang w:val="en-US"/>
        </w:rPr>
        <w:t>bridge facilities redeemed in May 2012. The remain</w:t>
      </w:r>
      <w:r w:rsidR="007B330D" w:rsidRPr="00227C94">
        <w:rPr>
          <w:color w:val="auto"/>
          <w:spacing w:val="-2"/>
          <w:lang w:val="en-US"/>
        </w:rPr>
        <w:t>ing</w:t>
      </w:r>
      <w:r w:rsidRPr="00227C94">
        <w:rPr>
          <w:color w:val="auto"/>
          <w:spacing w:val="-2"/>
          <w:lang w:val="en-US"/>
        </w:rPr>
        <w:t xml:space="preserve"> USD33</w:t>
      </w:r>
      <w:proofErr w:type="gramStart"/>
      <w:r w:rsidRPr="00227C94">
        <w:rPr>
          <w:color w:val="auto"/>
          <w:spacing w:val="-2"/>
          <w:lang w:val="en-US"/>
        </w:rPr>
        <w:t>,333</w:t>
      </w:r>
      <w:proofErr w:type="gramEnd"/>
      <w:r w:rsidRPr="00227C94">
        <w:rPr>
          <w:color w:val="auto"/>
          <w:spacing w:val="-2"/>
          <w:lang w:val="en-US"/>
        </w:rPr>
        <w:t xml:space="preserve"> thousand relates to current portion of long-term borrowings due within twelve months.</w:t>
      </w:r>
    </w:p>
    <w:p w:rsidR="00127D09" w:rsidRPr="00227C94" w:rsidRDefault="00127D09" w:rsidP="00127D09">
      <w:pPr>
        <w:pStyle w:val="23"/>
        <w:spacing w:line="180" w:lineRule="exact"/>
        <w:rPr>
          <w:color w:val="auto"/>
          <w:w w:val="0"/>
          <w:lang w:val="en-US"/>
        </w:rPr>
      </w:pPr>
    </w:p>
    <w:p w:rsidR="00916675" w:rsidRPr="00227C94" w:rsidRDefault="00916675" w:rsidP="00127D09">
      <w:pPr>
        <w:pStyle w:val="23"/>
        <w:rPr>
          <w:color w:val="auto"/>
          <w:w w:val="0"/>
          <w:lang w:val="en-US"/>
        </w:rPr>
      </w:pPr>
      <w:r w:rsidRPr="00227C94">
        <w:rPr>
          <w:color w:val="auto"/>
          <w:w w:val="0"/>
          <w:lang w:val="en-US"/>
        </w:rPr>
        <w:t>Trade, other payables and accrued expenses increased by 31% from USD192</w:t>
      </w:r>
      <w:proofErr w:type="gramStart"/>
      <w:r w:rsidRPr="00227C94">
        <w:rPr>
          <w:color w:val="auto"/>
          <w:w w:val="0"/>
          <w:lang w:val="en-US"/>
        </w:rPr>
        <w:t>,077</w:t>
      </w:r>
      <w:proofErr w:type="gramEnd"/>
      <w:r w:rsidRPr="00227C94">
        <w:rPr>
          <w:color w:val="auto"/>
          <w:w w:val="0"/>
          <w:lang w:val="en-US"/>
        </w:rPr>
        <w:t xml:space="preserve"> thousand at </w:t>
      </w:r>
      <w:r w:rsidR="00127D09" w:rsidRPr="00227C94">
        <w:rPr>
          <w:color w:val="auto"/>
          <w:w w:val="0"/>
          <w:lang w:val="en-US"/>
        </w:rPr>
        <w:br/>
      </w:r>
      <w:r w:rsidRPr="00227C94">
        <w:rPr>
          <w:color w:val="auto"/>
          <w:w w:val="0"/>
          <w:lang w:val="en-US"/>
        </w:rPr>
        <w:t xml:space="preserve">31 December 2011 to USD252,581 thousand at 30 June 2012. This relates first of all to the </w:t>
      </w:r>
      <w:r w:rsidRPr="00227C94">
        <w:rPr>
          <w:color w:val="auto"/>
          <w:lang w:val="en-US"/>
        </w:rPr>
        <w:t xml:space="preserve">accrual of additional bonuses for operational and financial performance in H1 2012 for operational and administrative personnel of the Krasnoyarsk and Yakutia Kuranakh business units, as well as </w:t>
      </w:r>
      <w:r w:rsidR="00127D09" w:rsidRPr="00227C94">
        <w:rPr>
          <w:color w:val="auto"/>
          <w:lang w:val="en-US"/>
        </w:rPr>
        <w:br/>
      </w:r>
      <w:r w:rsidRPr="00227C94">
        <w:rPr>
          <w:color w:val="auto"/>
          <w:lang w:val="en-US"/>
        </w:rPr>
        <w:t>the Moscow HQ of the Group for an amount of USD24</w:t>
      </w:r>
      <w:proofErr w:type="gramStart"/>
      <w:r w:rsidRPr="00227C94">
        <w:rPr>
          <w:color w:val="auto"/>
          <w:lang w:val="en-US"/>
        </w:rPr>
        <w:t>,426</w:t>
      </w:r>
      <w:proofErr w:type="gramEnd"/>
      <w:r w:rsidRPr="00227C94">
        <w:rPr>
          <w:color w:val="auto"/>
          <w:lang w:val="en-US"/>
        </w:rPr>
        <w:t xml:space="preserve"> thousand (the bonus was calculated proportionally to the actual bonus paid for the FY2011). The rest of the increase relates to the advances payable for the disposal of Kazakh assets.</w:t>
      </w:r>
    </w:p>
    <w:p w:rsidR="00916675" w:rsidRPr="00227C94" w:rsidRDefault="00916675" w:rsidP="00127D09">
      <w:pPr>
        <w:pStyle w:val="23"/>
        <w:spacing w:line="180" w:lineRule="exact"/>
        <w:rPr>
          <w:color w:val="auto"/>
          <w:w w:val="0"/>
          <w:lang w:val="en-US"/>
        </w:rPr>
      </w:pPr>
      <w:bookmarkStart w:id="356" w:name="_DV_M370"/>
      <w:bookmarkEnd w:id="356"/>
    </w:p>
    <w:p w:rsidR="00916675" w:rsidRPr="00227C94" w:rsidRDefault="00916675" w:rsidP="00127D09">
      <w:pPr>
        <w:pStyle w:val="23"/>
        <w:rPr>
          <w:color w:val="auto"/>
          <w:lang w:val="en-US"/>
        </w:rPr>
      </w:pPr>
      <w:r w:rsidRPr="00227C94">
        <w:rPr>
          <w:color w:val="auto"/>
          <w:w w:val="0"/>
          <w:lang w:val="en-US"/>
        </w:rPr>
        <w:t>In the first half of 2012, income tax payable slightly increased from USD42</w:t>
      </w:r>
      <w:proofErr w:type="gramStart"/>
      <w:r w:rsidRPr="00227C94">
        <w:rPr>
          <w:color w:val="auto"/>
          <w:w w:val="0"/>
          <w:lang w:val="en-US"/>
        </w:rPr>
        <w:t>,956</w:t>
      </w:r>
      <w:proofErr w:type="gramEnd"/>
      <w:r w:rsidRPr="00227C94">
        <w:rPr>
          <w:color w:val="auto"/>
          <w:w w:val="0"/>
          <w:lang w:val="en-US"/>
        </w:rPr>
        <w:t xml:space="preserve"> thousand to USD44,961 thousand. </w:t>
      </w:r>
      <w:r w:rsidRPr="00227C94">
        <w:rPr>
          <w:color w:val="auto"/>
          <w:lang w:val="en-US"/>
        </w:rPr>
        <w:t>This increase was due to the increase in unified social tax as well as tax on mining payable.</w:t>
      </w:r>
    </w:p>
    <w:p w:rsidR="00916675" w:rsidRPr="00227C94" w:rsidRDefault="00916675" w:rsidP="00127D09">
      <w:pPr>
        <w:pStyle w:val="23"/>
        <w:spacing w:line="180" w:lineRule="exact"/>
        <w:rPr>
          <w:color w:val="auto"/>
          <w:lang w:val="en-US"/>
        </w:rPr>
      </w:pPr>
    </w:p>
    <w:p w:rsidR="00916675" w:rsidRPr="00227C94" w:rsidRDefault="00916675" w:rsidP="00127D09">
      <w:pPr>
        <w:pStyle w:val="22"/>
        <w:rPr>
          <w:w w:val="0"/>
          <w:lang w:val="en-US"/>
        </w:rPr>
      </w:pPr>
      <w:bookmarkStart w:id="357" w:name="_DV_M371"/>
      <w:bookmarkStart w:id="358" w:name="_Toc303889397"/>
      <w:bookmarkStart w:id="359" w:name="_Toc304205611"/>
      <w:bookmarkEnd w:id="357"/>
      <w:r w:rsidRPr="00227C94">
        <w:rPr>
          <w:w w:val="0"/>
        </w:rPr>
        <w:t>4.2 Cash flow analysis</w:t>
      </w:r>
      <w:bookmarkEnd w:id="358"/>
      <w:bookmarkEnd w:id="359"/>
    </w:p>
    <w:p w:rsidR="00127D09" w:rsidRPr="00227C94" w:rsidRDefault="00127D09" w:rsidP="00127D09">
      <w:pPr>
        <w:pStyle w:val="23"/>
        <w:spacing w:line="180" w:lineRule="exact"/>
        <w:rPr>
          <w:color w:val="auto"/>
          <w:lang w:val="en-US"/>
        </w:rPr>
      </w:pPr>
    </w:p>
    <w:p w:rsidR="00916675" w:rsidRPr="00227C94" w:rsidRDefault="00916675" w:rsidP="00127D09">
      <w:pPr>
        <w:pStyle w:val="23"/>
        <w:rPr>
          <w:color w:val="auto"/>
          <w:spacing w:val="-3"/>
          <w:w w:val="0"/>
          <w:lang w:val="en-US"/>
        </w:rPr>
      </w:pPr>
      <w:bookmarkStart w:id="360" w:name="_DV_M372"/>
      <w:bookmarkEnd w:id="360"/>
      <w:r w:rsidRPr="00227C94">
        <w:rPr>
          <w:color w:val="auto"/>
          <w:w w:val="0"/>
          <w:lang w:val="en-US"/>
        </w:rPr>
        <w:t xml:space="preserve">The following table sets forth the main components of the Group’s consolidated interim statement of </w:t>
      </w:r>
      <w:r w:rsidRPr="00227C94">
        <w:rPr>
          <w:color w:val="auto"/>
          <w:spacing w:val="-3"/>
          <w:w w:val="0"/>
          <w:lang w:val="en-US"/>
        </w:rPr>
        <w:t xml:space="preserve">cash flows </w:t>
      </w:r>
      <w:r w:rsidRPr="00227C94">
        <w:rPr>
          <w:color w:val="auto"/>
          <w:spacing w:val="-3"/>
          <w:lang w:val="en-US"/>
        </w:rPr>
        <w:t>for the 6 months ended 30 June 2012 and 2011, and for the year ended 31 December 2011</w:t>
      </w:r>
      <w:r w:rsidRPr="00227C94">
        <w:rPr>
          <w:color w:val="auto"/>
          <w:spacing w:val="-3"/>
          <w:w w:val="0"/>
          <w:lang w:val="en-US"/>
        </w:rPr>
        <w:t xml:space="preserve">: </w:t>
      </w:r>
    </w:p>
    <w:p w:rsidR="00127D09" w:rsidRPr="00227C94" w:rsidRDefault="00127D09" w:rsidP="00127D09">
      <w:pPr>
        <w:pStyle w:val="23"/>
        <w:spacing w:line="180" w:lineRule="exact"/>
        <w:rPr>
          <w:color w:val="auto"/>
          <w:w w:val="0"/>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127D09" w:rsidRPr="00227C94" w:rsidTr="00A701F4">
        <w:trPr>
          <w:cantSplit/>
        </w:trPr>
        <w:tc>
          <w:tcPr>
            <w:tcW w:w="4118" w:type="dxa"/>
            <w:tcBorders>
              <w:top w:val="nil"/>
              <w:left w:val="nil"/>
              <w:bottom w:val="nil"/>
              <w:right w:val="nil"/>
            </w:tcBorders>
          </w:tcPr>
          <w:p w:rsidR="00127D09" w:rsidRPr="00227C94" w:rsidRDefault="00127D09" w:rsidP="00127D09">
            <w:pPr>
              <w:pStyle w:val="tblHeaderText"/>
              <w:jc w:val="left"/>
              <w:rPr>
                <w:w w:val="0"/>
                <w:lang w:val="en-US"/>
              </w:rPr>
            </w:pPr>
          </w:p>
        </w:tc>
        <w:tc>
          <w:tcPr>
            <w:tcW w:w="3117" w:type="dxa"/>
            <w:gridSpan w:val="3"/>
            <w:tcBorders>
              <w:top w:val="nil"/>
              <w:left w:val="nil"/>
              <w:bottom w:val="single" w:sz="6" w:space="0" w:color="auto"/>
              <w:right w:val="nil"/>
            </w:tcBorders>
            <w:shd w:val="clear" w:color="auto" w:fill="auto"/>
            <w:vAlign w:val="bottom"/>
          </w:tcPr>
          <w:p w:rsidR="00127D09" w:rsidRPr="00227C94" w:rsidRDefault="00127D09" w:rsidP="00127D09">
            <w:pPr>
              <w:pStyle w:val="tblHeaderText"/>
              <w:rPr>
                <w:w w:val="0"/>
              </w:rPr>
            </w:pPr>
            <w:r w:rsidRPr="00227C94">
              <w:rPr>
                <w:w w:val="0"/>
              </w:rPr>
              <w:t>Six months ended 30 June</w:t>
            </w:r>
          </w:p>
        </w:tc>
        <w:tc>
          <w:tcPr>
            <w:tcW w:w="283" w:type="dxa"/>
            <w:tcBorders>
              <w:top w:val="nil"/>
              <w:left w:val="nil"/>
              <w:bottom w:val="nil"/>
              <w:right w:val="nil"/>
            </w:tcBorders>
            <w:vAlign w:val="bottom"/>
          </w:tcPr>
          <w:p w:rsidR="00127D09" w:rsidRPr="00227C94" w:rsidRDefault="00127D09" w:rsidP="00127D09">
            <w:pPr>
              <w:pStyle w:val="tblHeaderText"/>
              <w:rPr>
                <w:w w:val="0"/>
              </w:rPr>
            </w:pPr>
          </w:p>
        </w:tc>
        <w:tc>
          <w:tcPr>
            <w:tcW w:w="1417" w:type="dxa"/>
            <w:tcBorders>
              <w:top w:val="nil"/>
              <w:left w:val="nil"/>
              <w:right w:val="nil"/>
            </w:tcBorders>
            <w:vAlign w:val="bottom"/>
          </w:tcPr>
          <w:p w:rsidR="00127D09" w:rsidRPr="00227C94" w:rsidRDefault="00127D09" w:rsidP="00127D09">
            <w:pPr>
              <w:pStyle w:val="tblHeaderText"/>
              <w:rPr>
                <w:w w:val="0"/>
              </w:rPr>
            </w:pPr>
            <w:r w:rsidRPr="00227C94">
              <w:t xml:space="preserve">Year ended </w:t>
            </w:r>
            <w:r w:rsidRPr="00227C94">
              <w:rPr>
                <w:lang w:val="en-US"/>
              </w:rPr>
              <w:br/>
            </w:r>
            <w:r w:rsidRPr="00227C94">
              <w:t>31 December</w:t>
            </w:r>
          </w:p>
        </w:tc>
      </w:tr>
      <w:tr w:rsidR="00127D09" w:rsidRPr="00227C94" w:rsidTr="00A701F4">
        <w:trPr>
          <w:cantSplit/>
        </w:trPr>
        <w:tc>
          <w:tcPr>
            <w:tcW w:w="4118" w:type="dxa"/>
            <w:tcBorders>
              <w:top w:val="nil"/>
              <w:left w:val="nil"/>
              <w:bottom w:val="nil"/>
              <w:right w:val="nil"/>
            </w:tcBorders>
          </w:tcPr>
          <w:p w:rsidR="00127D09" w:rsidRPr="00227C94" w:rsidRDefault="00127D09" w:rsidP="005A3237">
            <w:pPr>
              <w:pStyle w:val="tblHeaderText"/>
              <w:jc w:val="left"/>
              <w:rPr>
                <w:w w:val="0"/>
              </w:rPr>
            </w:pPr>
            <w:r w:rsidRPr="00227C94">
              <w:rPr>
                <w:w w:val="0"/>
              </w:rPr>
              <w:t>USD‘000</w:t>
            </w:r>
          </w:p>
        </w:tc>
        <w:tc>
          <w:tcPr>
            <w:tcW w:w="1417" w:type="dxa"/>
            <w:tcBorders>
              <w:top w:val="single" w:sz="6" w:space="0" w:color="auto"/>
              <w:left w:val="nil"/>
              <w:bottom w:val="single" w:sz="6" w:space="0" w:color="auto"/>
              <w:right w:val="nil"/>
            </w:tcBorders>
            <w:shd w:val="clear" w:color="auto" w:fill="auto"/>
          </w:tcPr>
          <w:p w:rsidR="00127D09" w:rsidRPr="00227C94" w:rsidRDefault="00127D09" w:rsidP="005A3237">
            <w:pPr>
              <w:pStyle w:val="tblHeaderText"/>
              <w:rPr>
                <w:w w:val="0"/>
              </w:rPr>
            </w:pPr>
            <w:r w:rsidRPr="00227C94">
              <w:rPr>
                <w:w w:val="0"/>
              </w:rPr>
              <w:t>2012</w:t>
            </w:r>
          </w:p>
        </w:tc>
        <w:tc>
          <w:tcPr>
            <w:tcW w:w="283" w:type="dxa"/>
            <w:tcBorders>
              <w:top w:val="single" w:sz="6" w:space="0" w:color="auto"/>
              <w:left w:val="nil"/>
              <w:bottom w:val="nil"/>
              <w:right w:val="nil"/>
            </w:tcBorders>
            <w:shd w:val="clear" w:color="auto" w:fill="auto"/>
          </w:tcPr>
          <w:p w:rsidR="00127D09" w:rsidRPr="00227C94" w:rsidRDefault="00127D09" w:rsidP="005A3237">
            <w:pPr>
              <w:pStyle w:val="tblHeaderText"/>
              <w:rPr>
                <w:w w:val="0"/>
              </w:rPr>
            </w:pPr>
          </w:p>
        </w:tc>
        <w:tc>
          <w:tcPr>
            <w:tcW w:w="1417" w:type="dxa"/>
            <w:tcBorders>
              <w:top w:val="single" w:sz="6" w:space="0" w:color="auto"/>
              <w:left w:val="nil"/>
              <w:bottom w:val="single" w:sz="6" w:space="0" w:color="auto"/>
              <w:right w:val="nil"/>
            </w:tcBorders>
            <w:shd w:val="clear" w:color="auto" w:fill="auto"/>
          </w:tcPr>
          <w:p w:rsidR="00127D09" w:rsidRPr="00227C94" w:rsidRDefault="00127D09" w:rsidP="005A3237">
            <w:pPr>
              <w:pStyle w:val="tblHeaderText"/>
              <w:rPr>
                <w:w w:val="0"/>
              </w:rPr>
            </w:pPr>
            <w:r w:rsidRPr="00227C94">
              <w:rPr>
                <w:w w:val="0"/>
              </w:rPr>
              <w:t>2011</w:t>
            </w:r>
          </w:p>
        </w:tc>
        <w:tc>
          <w:tcPr>
            <w:tcW w:w="283" w:type="dxa"/>
            <w:tcBorders>
              <w:top w:val="nil"/>
              <w:left w:val="nil"/>
              <w:right w:val="nil"/>
            </w:tcBorders>
          </w:tcPr>
          <w:p w:rsidR="00127D09" w:rsidRPr="00227C94" w:rsidRDefault="00127D09" w:rsidP="005A3237">
            <w:pPr>
              <w:pStyle w:val="tblHeaderText"/>
              <w:rPr>
                <w:w w:val="0"/>
              </w:rPr>
            </w:pPr>
          </w:p>
        </w:tc>
        <w:tc>
          <w:tcPr>
            <w:tcW w:w="1417" w:type="dxa"/>
            <w:tcBorders>
              <w:top w:val="nil"/>
              <w:left w:val="nil"/>
              <w:bottom w:val="single" w:sz="6" w:space="0" w:color="auto"/>
              <w:right w:val="nil"/>
            </w:tcBorders>
            <w:shd w:val="clear" w:color="auto" w:fill="auto"/>
          </w:tcPr>
          <w:p w:rsidR="00127D09" w:rsidRPr="00227C94" w:rsidRDefault="00127D09" w:rsidP="005A3237">
            <w:pPr>
              <w:pStyle w:val="tblHeaderText"/>
              <w:rPr>
                <w:w w:val="0"/>
              </w:rPr>
            </w:pPr>
            <w:r w:rsidRPr="00227C94">
              <w:rPr>
                <w:w w:val="0"/>
              </w:rPr>
              <w:t>2011</w:t>
            </w:r>
          </w:p>
        </w:tc>
      </w:tr>
      <w:tr w:rsidR="00127D09" w:rsidRPr="00227C94" w:rsidTr="00A701F4">
        <w:trPr>
          <w:cantSplit/>
          <w:trHeight w:hRule="exact" w:val="113"/>
        </w:trPr>
        <w:tc>
          <w:tcPr>
            <w:tcW w:w="4118" w:type="dxa"/>
            <w:tcBorders>
              <w:top w:val="nil"/>
              <w:left w:val="nil"/>
              <w:bottom w:val="nil"/>
              <w:right w:val="nil"/>
            </w:tcBorders>
          </w:tcPr>
          <w:p w:rsidR="00127D09" w:rsidRPr="00227C94" w:rsidRDefault="00127D09" w:rsidP="00127D09">
            <w:pPr>
              <w:pStyle w:val="tblHeaderText"/>
              <w:jc w:val="left"/>
              <w:rPr>
                <w:w w:val="0"/>
              </w:rPr>
            </w:pPr>
          </w:p>
        </w:tc>
        <w:tc>
          <w:tcPr>
            <w:tcW w:w="1417" w:type="dxa"/>
            <w:tcBorders>
              <w:top w:val="single" w:sz="6" w:space="0" w:color="auto"/>
              <w:left w:val="nil"/>
              <w:bottom w:val="nil"/>
              <w:right w:val="nil"/>
            </w:tcBorders>
            <w:shd w:val="clear" w:color="auto" w:fill="auto"/>
          </w:tcPr>
          <w:p w:rsidR="00127D09" w:rsidRPr="00227C94" w:rsidRDefault="00127D09" w:rsidP="00127D09">
            <w:pPr>
              <w:pStyle w:val="tblHeaderText"/>
              <w:rPr>
                <w:w w:val="0"/>
              </w:rPr>
            </w:pPr>
          </w:p>
        </w:tc>
        <w:tc>
          <w:tcPr>
            <w:tcW w:w="283" w:type="dxa"/>
            <w:tcBorders>
              <w:top w:val="nil"/>
              <w:left w:val="nil"/>
              <w:bottom w:val="nil"/>
              <w:right w:val="nil"/>
            </w:tcBorders>
          </w:tcPr>
          <w:p w:rsidR="00127D09" w:rsidRPr="00227C94" w:rsidRDefault="00127D09" w:rsidP="00127D09">
            <w:pPr>
              <w:pStyle w:val="tblHeaderText"/>
              <w:rPr>
                <w:w w:val="0"/>
              </w:rPr>
            </w:pPr>
          </w:p>
        </w:tc>
        <w:tc>
          <w:tcPr>
            <w:tcW w:w="1417" w:type="dxa"/>
            <w:tcBorders>
              <w:top w:val="single" w:sz="6" w:space="0" w:color="auto"/>
              <w:left w:val="nil"/>
              <w:bottom w:val="nil"/>
              <w:right w:val="nil"/>
            </w:tcBorders>
            <w:shd w:val="clear" w:color="auto" w:fill="auto"/>
          </w:tcPr>
          <w:p w:rsidR="00127D09" w:rsidRPr="00227C94" w:rsidRDefault="00127D09" w:rsidP="00127D09">
            <w:pPr>
              <w:pStyle w:val="tblHeaderText"/>
              <w:rPr>
                <w:w w:val="0"/>
              </w:rPr>
            </w:pPr>
          </w:p>
        </w:tc>
        <w:tc>
          <w:tcPr>
            <w:tcW w:w="283" w:type="dxa"/>
            <w:tcBorders>
              <w:left w:val="nil"/>
              <w:bottom w:val="nil"/>
              <w:right w:val="nil"/>
            </w:tcBorders>
            <w:shd w:val="clear" w:color="auto" w:fill="auto"/>
          </w:tcPr>
          <w:p w:rsidR="00127D09" w:rsidRPr="00227C94" w:rsidRDefault="00127D09" w:rsidP="00127D09">
            <w:pPr>
              <w:pStyle w:val="tblHeaderText"/>
              <w:rPr>
                <w:w w:val="0"/>
              </w:rPr>
            </w:pPr>
          </w:p>
        </w:tc>
        <w:tc>
          <w:tcPr>
            <w:tcW w:w="1417" w:type="dxa"/>
            <w:tcBorders>
              <w:top w:val="single" w:sz="6" w:space="0" w:color="auto"/>
              <w:left w:val="nil"/>
              <w:bottom w:val="nil"/>
              <w:right w:val="nil"/>
            </w:tcBorders>
            <w:shd w:val="clear" w:color="auto" w:fill="auto"/>
          </w:tcPr>
          <w:p w:rsidR="00127D09" w:rsidRPr="00227C94" w:rsidRDefault="00127D09" w:rsidP="00127D09">
            <w:pPr>
              <w:pStyle w:val="tblHeaderText"/>
              <w:rPr>
                <w:w w:val="0"/>
              </w:rPr>
            </w:pPr>
          </w:p>
        </w:tc>
      </w:tr>
      <w:tr w:rsidR="00127D09" w:rsidRPr="00227C94" w:rsidTr="00127D09">
        <w:trPr>
          <w:cantSplit/>
        </w:trPr>
        <w:tc>
          <w:tcPr>
            <w:tcW w:w="4118" w:type="dxa"/>
            <w:tcBorders>
              <w:top w:val="nil"/>
              <w:left w:val="nil"/>
              <w:bottom w:val="nil"/>
              <w:right w:val="nil"/>
            </w:tcBorders>
          </w:tcPr>
          <w:p w:rsidR="00127D09" w:rsidRPr="00227C94" w:rsidRDefault="00127D09" w:rsidP="00127D09">
            <w:pPr>
              <w:pStyle w:val="tblText02"/>
              <w:rPr>
                <w:b/>
                <w:w w:val="0"/>
              </w:rPr>
            </w:pPr>
            <w:r w:rsidRPr="00227C94">
              <w:rPr>
                <w:b/>
                <w:w w:val="0"/>
              </w:rPr>
              <w:t>Operating activities</w:t>
            </w:r>
          </w:p>
        </w:tc>
        <w:tc>
          <w:tcPr>
            <w:tcW w:w="1417" w:type="dxa"/>
            <w:tcBorders>
              <w:top w:val="nil"/>
              <w:left w:val="nil"/>
              <w:bottom w:val="nil"/>
              <w:right w:val="nil"/>
            </w:tcBorders>
            <w:vAlign w:val="bottom"/>
          </w:tcPr>
          <w:p w:rsidR="00127D09" w:rsidRPr="00227C94" w:rsidRDefault="00127D09" w:rsidP="00127D09">
            <w:pPr>
              <w:pStyle w:val="tblNumber01"/>
              <w:rPr>
                <w:b/>
                <w:w w:val="0"/>
              </w:rPr>
            </w:pPr>
          </w:p>
        </w:tc>
        <w:tc>
          <w:tcPr>
            <w:tcW w:w="283" w:type="dxa"/>
            <w:tcBorders>
              <w:top w:val="nil"/>
              <w:left w:val="nil"/>
              <w:bottom w:val="nil"/>
              <w:right w:val="nil"/>
            </w:tcBorders>
            <w:vAlign w:val="bottom"/>
          </w:tcPr>
          <w:p w:rsidR="00127D09" w:rsidRPr="00227C94" w:rsidRDefault="00127D09" w:rsidP="00127D09">
            <w:pPr>
              <w:pStyle w:val="tblNumber01"/>
              <w:rPr>
                <w:b/>
                <w:w w:val="0"/>
              </w:rPr>
            </w:pPr>
          </w:p>
        </w:tc>
        <w:tc>
          <w:tcPr>
            <w:tcW w:w="1417" w:type="dxa"/>
            <w:tcBorders>
              <w:top w:val="nil"/>
              <w:left w:val="nil"/>
              <w:bottom w:val="nil"/>
              <w:right w:val="nil"/>
            </w:tcBorders>
            <w:vAlign w:val="bottom"/>
          </w:tcPr>
          <w:p w:rsidR="00127D09" w:rsidRPr="00227C94" w:rsidRDefault="00127D09" w:rsidP="00127D09">
            <w:pPr>
              <w:pStyle w:val="tblNumber01"/>
              <w:rPr>
                <w:b/>
                <w:w w:val="0"/>
              </w:rPr>
            </w:pPr>
          </w:p>
        </w:tc>
        <w:tc>
          <w:tcPr>
            <w:tcW w:w="283" w:type="dxa"/>
            <w:tcBorders>
              <w:top w:val="nil"/>
              <w:left w:val="nil"/>
              <w:bottom w:val="nil"/>
              <w:right w:val="nil"/>
            </w:tcBorders>
            <w:vAlign w:val="bottom"/>
          </w:tcPr>
          <w:p w:rsidR="00127D09" w:rsidRPr="00227C94" w:rsidRDefault="00127D09" w:rsidP="00127D09">
            <w:pPr>
              <w:pStyle w:val="tblNumber01"/>
              <w:rPr>
                <w:b/>
                <w:w w:val="0"/>
              </w:rPr>
            </w:pPr>
          </w:p>
        </w:tc>
        <w:tc>
          <w:tcPr>
            <w:tcW w:w="1417" w:type="dxa"/>
            <w:tcBorders>
              <w:top w:val="nil"/>
              <w:left w:val="nil"/>
              <w:bottom w:val="nil"/>
              <w:right w:val="nil"/>
            </w:tcBorders>
            <w:vAlign w:val="bottom"/>
          </w:tcPr>
          <w:p w:rsidR="00127D09" w:rsidRPr="00227C94" w:rsidRDefault="00127D09" w:rsidP="00127D09">
            <w:pPr>
              <w:pStyle w:val="tblNumber01"/>
              <w:rPr>
                <w:b/>
                <w:w w:val="0"/>
              </w:rPr>
            </w:pPr>
          </w:p>
        </w:tc>
      </w:tr>
      <w:tr w:rsidR="00127D09" w:rsidRPr="00227C94" w:rsidTr="00F22941">
        <w:trPr>
          <w:cantSplit/>
        </w:trPr>
        <w:tc>
          <w:tcPr>
            <w:tcW w:w="4118" w:type="dxa"/>
            <w:tcBorders>
              <w:top w:val="nil"/>
              <w:left w:val="nil"/>
              <w:bottom w:val="nil"/>
              <w:right w:val="nil"/>
            </w:tcBorders>
          </w:tcPr>
          <w:p w:rsidR="00127D09" w:rsidRPr="00227C94" w:rsidRDefault="00127D09" w:rsidP="00127D09">
            <w:pPr>
              <w:pStyle w:val="tblText02"/>
              <w:rPr>
                <w:b/>
                <w:w w:val="0"/>
              </w:rPr>
            </w:pPr>
            <w:r w:rsidRPr="00227C94">
              <w:rPr>
                <w:b/>
                <w:w w:val="0"/>
              </w:rPr>
              <w:t>Profit before income tax</w:t>
            </w:r>
          </w:p>
        </w:tc>
        <w:tc>
          <w:tcPr>
            <w:tcW w:w="1417" w:type="dxa"/>
            <w:tcBorders>
              <w:top w:val="nil"/>
              <w:left w:val="nil"/>
              <w:right w:val="nil"/>
            </w:tcBorders>
            <w:vAlign w:val="bottom"/>
          </w:tcPr>
          <w:p w:rsidR="00127D09" w:rsidRPr="00227C94" w:rsidRDefault="00127D09" w:rsidP="00127D09">
            <w:pPr>
              <w:pStyle w:val="tblNumber01"/>
              <w:rPr>
                <w:b/>
              </w:rPr>
            </w:pPr>
            <w:r w:rsidRPr="00227C94">
              <w:rPr>
                <w:b/>
              </w:rPr>
              <w:t>538,922</w:t>
            </w: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nil"/>
              <w:left w:val="nil"/>
              <w:right w:val="nil"/>
            </w:tcBorders>
            <w:vAlign w:val="bottom"/>
          </w:tcPr>
          <w:p w:rsidR="00127D09" w:rsidRPr="00227C94" w:rsidRDefault="00127D09" w:rsidP="00127D09">
            <w:pPr>
              <w:pStyle w:val="tblNumber01"/>
              <w:rPr>
                <w:b/>
              </w:rPr>
            </w:pPr>
            <w:r w:rsidRPr="00227C94">
              <w:rPr>
                <w:b/>
              </w:rPr>
              <w:t>267,200</w:t>
            </w: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nil"/>
              <w:left w:val="nil"/>
              <w:right w:val="nil"/>
            </w:tcBorders>
            <w:vAlign w:val="bottom"/>
          </w:tcPr>
          <w:p w:rsidR="00127D09" w:rsidRPr="00227C94" w:rsidRDefault="00127D09" w:rsidP="00127D09">
            <w:pPr>
              <w:pStyle w:val="tblNumber01"/>
              <w:rPr>
                <w:b/>
              </w:rPr>
            </w:pPr>
            <w:r w:rsidRPr="00227C94">
              <w:rPr>
                <w:b/>
              </w:rPr>
              <w:t>765,067</w:t>
            </w:r>
          </w:p>
        </w:tc>
      </w:tr>
      <w:tr w:rsidR="00127D09" w:rsidRPr="00227C94" w:rsidTr="00F22941">
        <w:trPr>
          <w:cantSplit/>
        </w:trPr>
        <w:tc>
          <w:tcPr>
            <w:tcW w:w="4118" w:type="dxa"/>
            <w:tcBorders>
              <w:top w:val="nil"/>
              <w:left w:val="nil"/>
              <w:bottom w:val="nil"/>
              <w:right w:val="nil"/>
            </w:tcBorders>
          </w:tcPr>
          <w:p w:rsidR="00127D09" w:rsidRPr="00227C94" w:rsidRDefault="00127D09" w:rsidP="00127D09">
            <w:pPr>
              <w:pStyle w:val="tblText02"/>
              <w:rPr>
                <w:w w:val="0"/>
                <w:vertAlign w:val="superscript"/>
              </w:rPr>
            </w:pPr>
            <w:r w:rsidRPr="00227C94">
              <w:rPr>
                <w:w w:val="0"/>
              </w:rPr>
              <w:t>Adjustments</w:t>
            </w:r>
            <w:r w:rsidRPr="00227C94">
              <w:rPr>
                <w:w w:val="0"/>
                <w:vertAlign w:val="superscript"/>
              </w:rPr>
              <w:t>(1)</w:t>
            </w:r>
          </w:p>
        </w:tc>
        <w:tc>
          <w:tcPr>
            <w:tcW w:w="1417" w:type="dxa"/>
            <w:tcBorders>
              <w:top w:val="nil"/>
              <w:left w:val="nil"/>
              <w:bottom w:val="single" w:sz="4" w:space="0" w:color="auto"/>
              <w:right w:val="nil"/>
            </w:tcBorders>
            <w:vAlign w:val="bottom"/>
          </w:tcPr>
          <w:p w:rsidR="00127D09" w:rsidRPr="00227C94" w:rsidRDefault="00127D09" w:rsidP="00127D09">
            <w:pPr>
              <w:pStyle w:val="tblNumber01"/>
            </w:pPr>
            <w:r w:rsidRPr="00227C94">
              <w:t>94,737</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single" w:sz="4" w:space="0" w:color="auto"/>
              <w:right w:val="nil"/>
            </w:tcBorders>
            <w:vAlign w:val="bottom"/>
          </w:tcPr>
          <w:p w:rsidR="00127D09" w:rsidRPr="00227C94" w:rsidRDefault="00127D09" w:rsidP="00127D09">
            <w:pPr>
              <w:pStyle w:val="tblNumber01"/>
            </w:pPr>
            <w:r w:rsidRPr="00227C94">
              <w:t>188,524</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single" w:sz="4" w:space="0" w:color="auto"/>
              <w:right w:val="nil"/>
            </w:tcBorders>
            <w:vAlign w:val="bottom"/>
          </w:tcPr>
          <w:p w:rsidR="00127D09" w:rsidRPr="00227C94" w:rsidRDefault="00127D09" w:rsidP="00127D09">
            <w:pPr>
              <w:pStyle w:val="tblNumber01"/>
            </w:pPr>
            <w:r w:rsidRPr="00227C94">
              <w:t>391,849</w:t>
            </w:r>
          </w:p>
        </w:tc>
      </w:tr>
      <w:tr w:rsidR="00127D09" w:rsidRPr="00227C94" w:rsidTr="00F22941">
        <w:trPr>
          <w:cantSplit/>
        </w:trPr>
        <w:tc>
          <w:tcPr>
            <w:tcW w:w="4118" w:type="dxa"/>
            <w:tcBorders>
              <w:top w:val="nil"/>
              <w:left w:val="nil"/>
              <w:bottom w:val="nil"/>
              <w:right w:val="nil"/>
            </w:tcBorders>
          </w:tcPr>
          <w:p w:rsidR="00127D09" w:rsidRPr="00227C94" w:rsidRDefault="00127D09" w:rsidP="00127D09">
            <w:pPr>
              <w:pStyle w:val="tblText02"/>
              <w:rPr>
                <w:b/>
                <w:w w:val="0"/>
                <w:lang w:val="en-US"/>
              </w:rPr>
            </w:pPr>
            <w:r w:rsidRPr="00227C94">
              <w:rPr>
                <w:b/>
                <w:w w:val="0"/>
                <w:lang w:val="en-US"/>
              </w:rPr>
              <w:t>Operating profit before working capital changes</w:t>
            </w:r>
          </w:p>
        </w:tc>
        <w:tc>
          <w:tcPr>
            <w:tcW w:w="1417" w:type="dxa"/>
            <w:tcBorders>
              <w:top w:val="single" w:sz="4" w:space="0" w:color="auto"/>
              <w:left w:val="nil"/>
              <w:bottom w:val="nil"/>
              <w:right w:val="nil"/>
            </w:tcBorders>
            <w:vAlign w:val="bottom"/>
          </w:tcPr>
          <w:p w:rsidR="00127D09" w:rsidRPr="00227C94" w:rsidRDefault="00127D09" w:rsidP="00127D09">
            <w:pPr>
              <w:pStyle w:val="tblNumber01"/>
              <w:rPr>
                <w:b/>
              </w:rPr>
            </w:pPr>
            <w:r w:rsidRPr="00227C94">
              <w:rPr>
                <w:b/>
              </w:rPr>
              <w:t>633,659</w:t>
            </w: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single" w:sz="4" w:space="0" w:color="auto"/>
              <w:left w:val="nil"/>
              <w:bottom w:val="nil"/>
              <w:right w:val="nil"/>
            </w:tcBorders>
            <w:vAlign w:val="bottom"/>
          </w:tcPr>
          <w:p w:rsidR="00127D09" w:rsidRPr="00227C94" w:rsidRDefault="00127D09" w:rsidP="00127D09">
            <w:pPr>
              <w:pStyle w:val="tblNumber01"/>
              <w:rPr>
                <w:b/>
              </w:rPr>
            </w:pPr>
            <w:r w:rsidRPr="00227C94">
              <w:rPr>
                <w:b/>
              </w:rPr>
              <w:t>455,724</w:t>
            </w: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single" w:sz="4" w:space="0" w:color="auto"/>
              <w:left w:val="nil"/>
              <w:bottom w:val="nil"/>
              <w:right w:val="nil"/>
            </w:tcBorders>
            <w:vAlign w:val="bottom"/>
          </w:tcPr>
          <w:p w:rsidR="00127D09" w:rsidRPr="00227C94" w:rsidRDefault="00127D09" w:rsidP="00127D09">
            <w:pPr>
              <w:pStyle w:val="tblNumber01"/>
              <w:rPr>
                <w:b/>
              </w:rPr>
            </w:pPr>
            <w:r w:rsidRPr="00227C94">
              <w:rPr>
                <w:b/>
              </w:rPr>
              <w:t>1,156,916</w:t>
            </w:r>
          </w:p>
        </w:tc>
      </w:tr>
      <w:tr w:rsidR="00127D09" w:rsidRPr="00227C94" w:rsidTr="001B7082">
        <w:trPr>
          <w:cantSplit/>
        </w:trPr>
        <w:tc>
          <w:tcPr>
            <w:tcW w:w="4118" w:type="dxa"/>
            <w:tcBorders>
              <w:top w:val="nil"/>
              <w:left w:val="nil"/>
              <w:bottom w:val="nil"/>
              <w:right w:val="nil"/>
            </w:tcBorders>
          </w:tcPr>
          <w:p w:rsidR="00127D09" w:rsidRPr="00227C94" w:rsidRDefault="00127D09" w:rsidP="00127D09">
            <w:pPr>
              <w:pStyle w:val="tblText02"/>
              <w:rPr>
                <w:w w:val="0"/>
              </w:rPr>
            </w:pPr>
            <w:r w:rsidRPr="00227C94">
              <w:rPr>
                <w:w w:val="0"/>
              </w:rPr>
              <w:t>Changes in working capital</w:t>
            </w:r>
          </w:p>
        </w:tc>
        <w:tc>
          <w:tcPr>
            <w:tcW w:w="1417" w:type="dxa"/>
            <w:tcBorders>
              <w:top w:val="nil"/>
              <w:left w:val="nil"/>
              <w:bottom w:val="single" w:sz="4" w:space="0" w:color="auto"/>
              <w:right w:val="nil"/>
            </w:tcBorders>
            <w:vAlign w:val="bottom"/>
          </w:tcPr>
          <w:p w:rsidR="00127D09" w:rsidRPr="00227C94" w:rsidRDefault="00127D09" w:rsidP="00127D09">
            <w:pPr>
              <w:pStyle w:val="tblNumber00"/>
            </w:pPr>
            <w:r w:rsidRPr="00227C94">
              <w:t>(59,209)</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single" w:sz="4" w:space="0" w:color="auto"/>
              <w:right w:val="nil"/>
            </w:tcBorders>
            <w:vAlign w:val="bottom"/>
          </w:tcPr>
          <w:p w:rsidR="00127D09" w:rsidRPr="00227C94" w:rsidRDefault="00127D09" w:rsidP="00127D09">
            <w:pPr>
              <w:pStyle w:val="tblNumber00"/>
            </w:pPr>
            <w:r w:rsidRPr="00227C94">
              <w:t>(89,603)</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single" w:sz="4" w:space="0" w:color="auto"/>
              <w:right w:val="nil"/>
            </w:tcBorders>
            <w:vAlign w:val="bottom"/>
          </w:tcPr>
          <w:p w:rsidR="00127D09" w:rsidRPr="00227C94" w:rsidRDefault="00127D09" w:rsidP="00127D09">
            <w:pPr>
              <w:pStyle w:val="tblNumber00"/>
            </w:pPr>
            <w:r w:rsidRPr="00227C94">
              <w:t>(137,345)</w:t>
            </w:r>
          </w:p>
        </w:tc>
      </w:tr>
      <w:tr w:rsidR="00127D09" w:rsidRPr="00227C94" w:rsidTr="001B7082">
        <w:trPr>
          <w:cantSplit/>
        </w:trPr>
        <w:tc>
          <w:tcPr>
            <w:tcW w:w="4118" w:type="dxa"/>
            <w:tcBorders>
              <w:top w:val="nil"/>
              <w:left w:val="nil"/>
              <w:bottom w:val="nil"/>
              <w:right w:val="nil"/>
            </w:tcBorders>
          </w:tcPr>
          <w:p w:rsidR="00127D09" w:rsidRPr="00227C94" w:rsidRDefault="00127D09" w:rsidP="00127D09">
            <w:pPr>
              <w:pStyle w:val="tblText02"/>
              <w:rPr>
                <w:b/>
                <w:w w:val="0"/>
              </w:rPr>
            </w:pPr>
            <w:r w:rsidRPr="00227C94">
              <w:rPr>
                <w:b/>
                <w:w w:val="0"/>
              </w:rPr>
              <w:t>Cash flows from operations</w:t>
            </w:r>
          </w:p>
        </w:tc>
        <w:tc>
          <w:tcPr>
            <w:tcW w:w="1417" w:type="dxa"/>
            <w:tcBorders>
              <w:top w:val="single" w:sz="4" w:space="0" w:color="auto"/>
              <w:left w:val="nil"/>
              <w:bottom w:val="nil"/>
              <w:right w:val="nil"/>
            </w:tcBorders>
            <w:vAlign w:val="bottom"/>
          </w:tcPr>
          <w:p w:rsidR="00127D09" w:rsidRPr="00227C94" w:rsidRDefault="00127D09" w:rsidP="00127D09">
            <w:pPr>
              <w:pStyle w:val="tblNumber01"/>
              <w:rPr>
                <w:b/>
              </w:rPr>
            </w:pPr>
            <w:r w:rsidRPr="00227C94">
              <w:rPr>
                <w:b/>
              </w:rPr>
              <w:t>574,450</w:t>
            </w: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single" w:sz="4" w:space="0" w:color="auto"/>
              <w:left w:val="nil"/>
              <w:bottom w:val="nil"/>
              <w:right w:val="nil"/>
            </w:tcBorders>
            <w:vAlign w:val="bottom"/>
          </w:tcPr>
          <w:p w:rsidR="00127D09" w:rsidRPr="00227C94" w:rsidRDefault="00127D09" w:rsidP="00127D09">
            <w:pPr>
              <w:pStyle w:val="tblNumber01"/>
              <w:rPr>
                <w:b/>
              </w:rPr>
            </w:pPr>
            <w:r w:rsidRPr="00227C94">
              <w:rPr>
                <w:b/>
              </w:rPr>
              <w:t>366,121</w:t>
            </w: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single" w:sz="4" w:space="0" w:color="auto"/>
              <w:left w:val="nil"/>
              <w:bottom w:val="nil"/>
              <w:right w:val="nil"/>
            </w:tcBorders>
            <w:vAlign w:val="bottom"/>
          </w:tcPr>
          <w:p w:rsidR="00127D09" w:rsidRPr="00227C94" w:rsidRDefault="00127D09" w:rsidP="00127D09">
            <w:pPr>
              <w:pStyle w:val="tblNumber01"/>
              <w:rPr>
                <w:b/>
              </w:rPr>
            </w:pPr>
            <w:r w:rsidRPr="00227C94">
              <w:rPr>
                <w:b/>
              </w:rPr>
              <w:t>1,019,571</w:t>
            </w:r>
          </w:p>
        </w:tc>
      </w:tr>
      <w:tr w:rsidR="00127D09" w:rsidRPr="00227C94" w:rsidTr="00127D09">
        <w:trPr>
          <w:cantSplit/>
        </w:trPr>
        <w:tc>
          <w:tcPr>
            <w:tcW w:w="4118" w:type="dxa"/>
            <w:tcBorders>
              <w:top w:val="nil"/>
              <w:left w:val="nil"/>
              <w:bottom w:val="nil"/>
              <w:right w:val="nil"/>
            </w:tcBorders>
          </w:tcPr>
          <w:p w:rsidR="00127D09" w:rsidRPr="00227C94" w:rsidRDefault="00127D09" w:rsidP="00127D09">
            <w:pPr>
              <w:pStyle w:val="tblText02"/>
              <w:rPr>
                <w:w w:val="0"/>
              </w:rPr>
            </w:pPr>
            <w:r w:rsidRPr="00227C94">
              <w:rPr>
                <w:w w:val="0"/>
              </w:rPr>
              <w:t>Interest paid</w:t>
            </w:r>
          </w:p>
        </w:tc>
        <w:tc>
          <w:tcPr>
            <w:tcW w:w="1417" w:type="dxa"/>
            <w:tcBorders>
              <w:top w:val="nil"/>
              <w:left w:val="nil"/>
              <w:bottom w:val="nil"/>
              <w:right w:val="nil"/>
            </w:tcBorders>
            <w:vAlign w:val="bottom"/>
          </w:tcPr>
          <w:p w:rsidR="00127D09" w:rsidRPr="00227C94" w:rsidRDefault="00127D09" w:rsidP="00127D09">
            <w:pPr>
              <w:pStyle w:val="tblNumber00"/>
            </w:pPr>
            <w:r w:rsidRPr="00227C94">
              <w:t>(21,620)</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0"/>
            </w:pPr>
            <w:r w:rsidRPr="00227C94">
              <w:t>(9,375)</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0"/>
            </w:pPr>
            <w:r w:rsidRPr="00227C94">
              <w:t>(23,423)</w:t>
            </w:r>
          </w:p>
        </w:tc>
      </w:tr>
      <w:tr w:rsidR="00127D09" w:rsidRPr="00227C94" w:rsidTr="001B7082">
        <w:trPr>
          <w:cantSplit/>
        </w:trPr>
        <w:tc>
          <w:tcPr>
            <w:tcW w:w="4118" w:type="dxa"/>
            <w:tcBorders>
              <w:top w:val="nil"/>
              <w:left w:val="nil"/>
              <w:bottom w:val="nil"/>
              <w:right w:val="nil"/>
            </w:tcBorders>
          </w:tcPr>
          <w:p w:rsidR="00127D09" w:rsidRPr="00227C94" w:rsidRDefault="00127D09" w:rsidP="00127D09">
            <w:pPr>
              <w:pStyle w:val="tblText02"/>
              <w:rPr>
                <w:w w:val="0"/>
              </w:rPr>
            </w:pPr>
            <w:r w:rsidRPr="00227C94">
              <w:rPr>
                <w:w w:val="0"/>
              </w:rPr>
              <w:t>Income tax paid</w:t>
            </w:r>
          </w:p>
        </w:tc>
        <w:tc>
          <w:tcPr>
            <w:tcW w:w="1417" w:type="dxa"/>
            <w:tcBorders>
              <w:top w:val="nil"/>
              <w:left w:val="nil"/>
              <w:bottom w:val="single" w:sz="4" w:space="0" w:color="auto"/>
              <w:right w:val="nil"/>
            </w:tcBorders>
            <w:vAlign w:val="bottom"/>
          </w:tcPr>
          <w:p w:rsidR="00127D09" w:rsidRPr="00227C94" w:rsidRDefault="00127D09" w:rsidP="00127D09">
            <w:pPr>
              <w:pStyle w:val="tblNumber00"/>
            </w:pPr>
            <w:r w:rsidRPr="00227C94">
              <w:t>(101,590)</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single" w:sz="4" w:space="0" w:color="auto"/>
              <w:right w:val="nil"/>
            </w:tcBorders>
            <w:vAlign w:val="bottom"/>
          </w:tcPr>
          <w:p w:rsidR="00127D09" w:rsidRPr="00227C94" w:rsidRDefault="00127D09" w:rsidP="00127D09">
            <w:pPr>
              <w:pStyle w:val="tblNumber00"/>
            </w:pPr>
            <w:r w:rsidRPr="00227C94">
              <w:t>(65,872)</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single" w:sz="4" w:space="0" w:color="auto"/>
              <w:right w:val="nil"/>
            </w:tcBorders>
            <w:vAlign w:val="bottom"/>
          </w:tcPr>
          <w:p w:rsidR="00127D09" w:rsidRPr="00227C94" w:rsidRDefault="00127D09" w:rsidP="00127D09">
            <w:pPr>
              <w:pStyle w:val="tblNumber00"/>
            </w:pPr>
            <w:r w:rsidRPr="00227C94">
              <w:t>(230,743)</w:t>
            </w:r>
          </w:p>
        </w:tc>
      </w:tr>
      <w:tr w:rsidR="00127D09" w:rsidRPr="00227C94" w:rsidTr="001B7082">
        <w:trPr>
          <w:cantSplit/>
        </w:trPr>
        <w:tc>
          <w:tcPr>
            <w:tcW w:w="4118" w:type="dxa"/>
            <w:tcBorders>
              <w:top w:val="nil"/>
              <w:left w:val="nil"/>
              <w:bottom w:val="nil"/>
              <w:right w:val="nil"/>
            </w:tcBorders>
          </w:tcPr>
          <w:p w:rsidR="00127D09" w:rsidRPr="00227C94" w:rsidRDefault="00127D09" w:rsidP="00127D09">
            <w:pPr>
              <w:pStyle w:val="tblText02"/>
              <w:rPr>
                <w:b/>
                <w:w w:val="0"/>
                <w:lang w:val="en-US"/>
              </w:rPr>
            </w:pPr>
            <w:r w:rsidRPr="00227C94">
              <w:rPr>
                <w:b/>
                <w:w w:val="0"/>
                <w:lang w:val="en-US"/>
              </w:rPr>
              <w:t>Net cash generated from operating activities</w:t>
            </w:r>
          </w:p>
        </w:tc>
        <w:tc>
          <w:tcPr>
            <w:tcW w:w="1417" w:type="dxa"/>
            <w:tcBorders>
              <w:top w:val="single" w:sz="4" w:space="0" w:color="auto"/>
              <w:left w:val="nil"/>
              <w:bottom w:val="nil"/>
              <w:right w:val="nil"/>
            </w:tcBorders>
            <w:vAlign w:val="bottom"/>
          </w:tcPr>
          <w:p w:rsidR="00127D09" w:rsidRPr="00227C94" w:rsidRDefault="00127D09" w:rsidP="00127D09">
            <w:pPr>
              <w:pStyle w:val="tblNumber01"/>
              <w:rPr>
                <w:b/>
              </w:rPr>
            </w:pPr>
            <w:r w:rsidRPr="00227C94">
              <w:rPr>
                <w:b/>
              </w:rPr>
              <w:t>451,240</w:t>
            </w: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single" w:sz="4" w:space="0" w:color="auto"/>
              <w:left w:val="nil"/>
              <w:bottom w:val="nil"/>
              <w:right w:val="nil"/>
            </w:tcBorders>
            <w:vAlign w:val="bottom"/>
          </w:tcPr>
          <w:p w:rsidR="00127D09" w:rsidRPr="00227C94" w:rsidRDefault="00127D09" w:rsidP="00127D09">
            <w:pPr>
              <w:pStyle w:val="tblNumber01"/>
              <w:rPr>
                <w:b/>
              </w:rPr>
            </w:pPr>
            <w:r w:rsidRPr="00227C94">
              <w:rPr>
                <w:b/>
              </w:rPr>
              <w:t>290,874</w:t>
            </w: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single" w:sz="4" w:space="0" w:color="auto"/>
              <w:left w:val="nil"/>
              <w:bottom w:val="nil"/>
              <w:right w:val="nil"/>
            </w:tcBorders>
            <w:vAlign w:val="bottom"/>
          </w:tcPr>
          <w:p w:rsidR="00127D09" w:rsidRPr="00227C94" w:rsidRDefault="00127D09" w:rsidP="00127D09">
            <w:pPr>
              <w:pStyle w:val="tblNumber01"/>
              <w:rPr>
                <w:b/>
              </w:rPr>
            </w:pPr>
            <w:r w:rsidRPr="00227C94">
              <w:rPr>
                <w:b/>
              </w:rPr>
              <w:t>765,405</w:t>
            </w:r>
          </w:p>
        </w:tc>
      </w:tr>
      <w:tr w:rsidR="00127D09" w:rsidRPr="00227C94" w:rsidTr="00127D09">
        <w:trPr>
          <w:cantSplit/>
        </w:trPr>
        <w:tc>
          <w:tcPr>
            <w:tcW w:w="4118" w:type="dxa"/>
            <w:tcBorders>
              <w:top w:val="nil"/>
              <w:left w:val="nil"/>
              <w:bottom w:val="nil"/>
              <w:right w:val="nil"/>
            </w:tcBorders>
          </w:tcPr>
          <w:p w:rsidR="00127D09" w:rsidRPr="00227C94" w:rsidRDefault="00127D09" w:rsidP="00127D09">
            <w:pPr>
              <w:pStyle w:val="tblText02"/>
              <w:rPr>
                <w:b/>
                <w:w w:val="0"/>
              </w:rPr>
            </w:pPr>
            <w:r w:rsidRPr="00227C94">
              <w:rPr>
                <w:b/>
                <w:w w:val="0"/>
              </w:rPr>
              <w:t>Investing activities</w:t>
            </w:r>
          </w:p>
        </w:tc>
        <w:tc>
          <w:tcPr>
            <w:tcW w:w="1417" w:type="dxa"/>
            <w:tcBorders>
              <w:top w:val="nil"/>
              <w:left w:val="nil"/>
              <w:bottom w:val="nil"/>
              <w:right w:val="nil"/>
            </w:tcBorders>
            <w:vAlign w:val="bottom"/>
          </w:tcPr>
          <w:p w:rsidR="00127D09" w:rsidRPr="00227C94" w:rsidRDefault="00127D09" w:rsidP="00127D09">
            <w:pPr>
              <w:pStyle w:val="tblNumber01"/>
              <w:rPr>
                <w:b/>
              </w:rPr>
            </w:pP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nil"/>
              <w:left w:val="nil"/>
              <w:bottom w:val="nil"/>
              <w:right w:val="nil"/>
            </w:tcBorders>
            <w:vAlign w:val="bottom"/>
          </w:tcPr>
          <w:p w:rsidR="00127D09" w:rsidRPr="00227C94" w:rsidRDefault="00127D09" w:rsidP="00127D09">
            <w:pPr>
              <w:pStyle w:val="tblNumber01"/>
              <w:rPr>
                <w:b/>
              </w:rPr>
            </w:pP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nil"/>
              <w:left w:val="nil"/>
              <w:bottom w:val="nil"/>
              <w:right w:val="nil"/>
            </w:tcBorders>
            <w:vAlign w:val="bottom"/>
          </w:tcPr>
          <w:p w:rsidR="00127D09" w:rsidRPr="00227C94" w:rsidRDefault="00127D09" w:rsidP="00127D09">
            <w:pPr>
              <w:pStyle w:val="tblNumber01"/>
              <w:rPr>
                <w:b/>
              </w:rPr>
            </w:pPr>
          </w:p>
        </w:tc>
      </w:tr>
      <w:tr w:rsidR="00127D09" w:rsidRPr="00227C94" w:rsidTr="00127D09">
        <w:trPr>
          <w:cantSplit/>
        </w:trPr>
        <w:tc>
          <w:tcPr>
            <w:tcW w:w="4118" w:type="dxa"/>
            <w:tcBorders>
              <w:top w:val="nil"/>
              <w:left w:val="nil"/>
              <w:bottom w:val="nil"/>
              <w:right w:val="nil"/>
            </w:tcBorders>
          </w:tcPr>
          <w:p w:rsidR="00127D09" w:rsidRPr="00227C94" w:rsidRDefault="00127D09" w:rsidP="00127D09">
            <w:pPr>
              <w:pStyle w:val="tblText02"/>
              <w:rPr>
                <w:w w:val="0"/>
                <w:vertAlign w:val="superscript"/>
                <w:lang w:val="en-US"/>
              </w:rPr>
            </w:pPr>
            <w:r w:rsidRPr="00227C94">
              <w:rPr>
                <w:w w:val="0"/>
                <w:lang w:val="en-US"/>
              </w:rPr>
              <w:t>CAPEX, acquisition of subsidiaries and deferred stripping costs</w:t>
            </w:r>
            <w:r w:rsidRPr="00227C94">
              <w:rPr>
                <w:w w:val="0"/>
                <w:vertAlign w:val="superscript"/>
                <w:lang w:val="en-US"/>
              </w:rPr>
              <w:t>(2)</w:t>
            </w:r>
          </w:p>
        </w:tc>
        <w:tc>
          <w:tcPr>
            <w:tcW w:w="1417" w:type="dxa"/>
            <w:tcBorders>
              <w:top w:val="nil"/>
              <w:left w:val="nil"/>
              <w:bottom w:val="nil"/>
              <w:right w:val="nil"/>
            </w:tcBorders>
            <w:vAlign w:val="bottom"/>
          </w:tcPr>
          <w:p w:rsidR="00127D09" w:rsidRPr="00227C94" w:rsidRDefault="00127D09" w:rsidP="00127D09">
            <w:pPr>
              <w:pStyle w:val="tblNumber00"/>
            </w:pPr>
            <w:r w:rsidRPr="00227C94">
              <w:t>(278,937)</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0"/>
            </w:pPr>
            <w:r w:rsidRPr="00227C94">
              <w:t>(180,273)</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0"/>
            </w:pPr>
            <w:r w:rsidRPr="00227C94">
              <w:t>(359,396)</w:t>
            </w:r>
          </w:p>
        </w:tc>
      </w:tr>
      <w:tr w:rsidR="00127D09" w:rsidRPr="00227C94" w:rsidTr="001B7082">
        <w:trPr>
          <w:cantSplit/>
        </w:trPr>
        <w:tc>
          <w:tcPr>
            <w:tcW w:w="4118" w:type="dxa"/>
            <w:tcBorders>
              <w:top w:val="nil"/>
              <w:left w:val="nil"/>
              <w:bottom w:val="nil"/>
              <w:right w:val="nil"/>
            </w:tcBorders>
          </w:tcPr>
          <w:p w:rsidR="00127D09" w:rsidRPr="00227C94" w:rsidRDefault="00127D09" w:rsidP="00127D09">
            <w:pPr>
              <w:pStyle w:val="tblText02"/>
              <w:rPr>
                <w:w w:val="0"/>
                <w:vertAlign w:val="superscript"/>
              </w:rPr>
            </w:pPr>
            <w:r w:rsidRPr="00227C94">
              <w:rPr>
                <w:w w:val="0"/>
              </w:rPr>
              <w:t>Other investing activities</w:t>
            </w:r>
            <w:r w:rsidRPr="00227C94">
              <w:rPr>
                <w:w w:val="0"/>
                <w:vertAlign w:val="superscript"/>
              </w:rPr>
              <w:t xml:space="preserve"> (3)</w:t>
            </w:r>
          </w:p>
        </w:tc>
        <w:tc>
          <w:tcPr>
            <w:tcW w:w="1417" w:type="dxa"/>
            <w:tcBorders>
              <w:top w:val="nil"/>
              <w:left w:val="nil"/>
              <w:bottom w:val="single" w:sz="4" w:space="0" w:color="auto"/>
              <w:right w:val="nil"/>
            </w:tcBorders>
            <w:vAlign w:val="bottom"/>
          </w:tcPr>
          <w:p w:rsidR="00127D09" w:rsidRPr="00227C94" w:rsidRDefault="00127D09" w:rsidP="00127D09">
            <w:pPr>
              <w:pStyle w:val="tblNumber01"/>
            </w:pPr>
            <w:r w:rsidRPr="00227C94">
              <w:t>16,016</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single" w:sz="4" w:space="0" w:color="auto"/>
              <w:right w:val="nil"/>
            </w:tcBorders>
            <w:vAlign w:val="bottom"/>
          </w:tcPr>
          <w:p w:rsidR="00127D09" w:rsidRPr="00227C94" w:rsidRDefault="00127D09" w:rsidP="00127D09">
            <w:pPr>
              <w:pStyle w:val="tblNumber00"/>
            </w:pPr>
            <w:r w:rsidRPr="00227C94">
              <w:t>(28,456)</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single" w:sz="4" w:space="0" w:color="auto"/>
              <w:right w:val="nil"/>
            </w:tcBorders>
            <w:vAlign w:val="bottom"/>
          </w:tcPr>
          <w:p w:rsidR="00127D09" w:rsidRPr="00227C94" w:rsidRDefault="00127D09" w:rsidP="00127D09">
            <w:pPr>
              <w:pStyle w:val="tblNumber01"/>
            </w:pPr>
            <w:r w:rsidRPr="00227C94">
              <w:t>99,033</w:t>
            </w:r>
          </w:p>
        </w:tc>
      </w:tr>
      <w:tr w:rsidR="00127D09" w:rsidRPr="00227C94" w:rsidTr="001B7082">
        <w:trPr>
          <w:cantSplit/>
        </w:trPr>
        <w:tc>
          <w:tcPr>
            <w:tcW w:w="4118" w:type="dxa"/>
            <w:tcBorders>
              <w:top w:val="nil"/>
              <w:left w:val="nil"/>
              <w:bottom w:val="nil"/>
              <w:right w:val="nil"/>
            </w:tcBorders>
          </w:tcPr>
          <w:p w:rsidR="00127D09" w:rsidRPr="00227C94" w:rsidRDefault="00127D09" w:rsidP="00127D09">
            <w:pPr>
              <w:pStyle w:val="tblText02"/>
              <w:rPr>
                <w:b/>
                <w:w w:val="0"/>
                <w:lang w:val="en-US"/>
              </w:rPr>
            </w:pPr>
            <w:r w:rsidRPr="00227C94">
              <w:rPr>
                <w:b/>
                <w:w w:val="0"/>
                <w:lang w:val="en-US"/>
              </w:rPr>
              <w:t>Net cash (used in)/generated from investing activities</w:t>
            </w:r>
          </w:p>
        </w:tc>
        <w:tc>
          <w:tcPr>
            <w:tcW w:w="1417" w:type="dxa"/>
            <w:tcBorders>
              <w:top w:val="single" w:sz="4" w:space="0" w:color="auto"/>
              <w:left w:val="nil"/>
              <w:bottom w:val="single" w:sz="4" w:space="0" w:color="auto"/>
              <w:right w:val="nil"/>
            </w:tcBorders>
            <w:vAlign w:val="bottom"/>
          </w:tcPr>
          <w:p w:rsidR="00127D09" w:rsidRPr="00227C94" w:rsidRDefault="00127D09" w:rsidP="00127D09">
            <w:pPr>
              <w:pStyle w:val="tblNumber00"/>
              <w:rPr>
                <w:b/>
              </w:rPr>
            </w:pPr>
            <w:r w:rsidRPr="00227C94">
              <w:rPr>
                <w:b/>
              </w:rPr>
              <w:t>(262,921)</w:t>
            </w: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single" w:sz="4" w:space="0" w:color="auto"/>
              <w:left w:val="nil"/>
              <w:bottom w:val="single" w:sz="4" w:space="0" w:color="auto"/>
              <w:right w:val="nil"/>
            </w:tcBorders>
            <w:vAlign w:val="bottom"/>
          </w:tcPr>
          <w:p w:rsidR="00127D09" w:rsidRPr="00227C94" w:rsidRDefault="00127D09" w:rsidP="00127D09">
            <w:pPr>
              <w:pStyle w:val="tblNumber00"/>
              <w:rPr>
                <w:b/>
              </w:rPr>
            </w:pPr>
            <w:r w:rsidRPr="00227C94">
              <w:rPr>
                <w:b/>
              </w:rPr>
              <w:t>(208,729)</w:t>
            </w: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single" w:sz="4" w:space="0" w:color="auto"/>
              <w:left w:val="nil"/>
              <w:bottom w:val="single" w:sz="4" w:space="0" w:color="auto"/>
              <w:right w:val="nil"/>
            </w:tcBorders>
            <w:vAlign w:val="bottom"/>
          </w:tcPr>
          <w:p w:rsidR="00127D09" w:rsidRPr="00227C94" w:rsidRDefault="00127D09" w:rsidP="00127D09">
            <w:pPr>
              <w:pStyle w:val="tblNumber00"/>
              <w:rPr>
                <w:b/>
              </w:rPr>
            </w:pPr>
            <w:r w:rsidRPr="00227C94">
              <w:rPr>
                <w:b/>
              </w:rPr>
              <w:t>(260,363)</w:t>
            </w:r>
          </w:p>
        </w:tc>
      </w:tr>
      <w:tr w:rsidR="00127D09" w:rsidRPr="00227C94" w:rsidTr="001B7082">
        <w:trPr>
          <w:cantSplit/>
        </w:trPr>
        <w:tc>
          <w:tcPr>
            <w:tcW w:w="4118" w:type="dxa"/>
            <w:tcBorders>
              <w:top w:val="nil"/>
              <w:left w:val="nil"/>
              <w:bottom w:val="nil"/>
              <w:right w:val="nil"/>
            </w:tcBorders>
          </w:tcPr>
          <w:p w:rsidR="00127D09" w:rsidRPr="00227C94" w:rsidRDefault="00127D09" w:rsidP="00127D09">
            <w:pPr>
              <w:pStyle w:val="tblText02"/>
              <w:rPr>
                <w:b/>
                <w:w w:val="0"/>
                <w:lang w:val="en-US"/>
              </w:rPr>
            </w:pPr>
            <w:r w:rsidRPr="00227C94">
              <w:rPr>
                <w:b/>
                <w:w w:val="0"/>
                <w:lang w:val="en-US"/>
              </w:rPr>
              <w:t>Net cash used in financing activities</w:t>
            </w:r>
          </w:p>
        </w:tc>
        <w:tc>
          <w:tcPr>
            <w:tcW w:w="1417" w:type="dxa"/>
            <w:tcBorders>
              <w:top w:val="single" w:sz="4" w:space="0" w:color="auto"/>
              <w:left w:val="nil"/>
              <w:bottom w:val="nil"/>
              <w:right w:val="nil"/>
            </w:tcBorders>
            <w:vAlign w:val="bottom"/>
          </w:tcPr>
          <w:p w:rsidR="00127D09" w:rsidRPr="00227C94" w:rsidRDefault="00127D09" w:rsidP="00127D09">
            <w:pPr>
              <w:pStyle w:val="tblNumber01"/>
              <w:rPr>
                <w:b/>
              </w:rPr>
            </w:pPr>
            <w:r w:rsidRPr="00227C94">
              <w:rPr>
                <w:b/>
              </w:rPr>
              <w:t>12,304</w:t>
            </w: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single" w:sz="4" w:space="0" w:color="auto"/>
              <w:left w:val="nil"/>
              <w:bottom w:val="nil"/>
              <w:right w:val="nil"/>
            </w:tcBorders>
            <w:vAlign w:val="bottom"/>
          </w:tcPr>
          <w:p w:rsidR="00127D09" w:rsidRPr="00227C94" w:rsidRDefault="00127D09" w:rsidP="00127D09">
            <w:pPr>
              <w:pStyle w:val="tblNumber00"/>
              <w:rPr>
                <w:b/>
              </w:rPr>
            </w:pPr>
            <w:r w:rsidRPr="00227C94">
              <w:rPr>
                <w:b/>
              </w:rPr>
              <w:t>(9,097)</w:t>
            </w: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single" w:sz="4" w:space="0" w:color="auto"/>
              <w:left w:val="nil"/>
              <w:bottom w:val="nil"/>
              <w:right w:val="nil"/>
            </w:tcBorders>
            <w:vAlign w:val="bottom"/>
          </w:tcPr>
          <w:p w:rsidR="00127D09" w:rsidRPr="00227C94" w:rsidRDefault="00127D09" w:rsidP="00127D09">
            <w:pPr>
              <w:pStyle w:val="tblNumber00"/>
              <w:rPr>
                <w:b/>
              </w:rPr>
            </w:pPr>
            <w:r w:rsidRPr="00227C94">
              <w:rPr>
                <w:b/>
              </w:rPr>
              <w:t>(134,958)</w:t>
            </w:r>
          </w:p>
        </w:tc>
      </w:tr>
      <w:tr w:rsidR="00127D09" w:rsidRPr="00227C94" w:rsidTr="00127D09">
        <w:trPr>
          <w:cantSplit/>
        </w:trPr>
        <w:tc>
          <w:tcPr>
            <w:tcW w:w="4118" w:type="dxa"/>
            <w:tcBorders>
              <w:top w:val="nil"/>
              <w:left w:val="nil"/>
              <w:bottom w:val="nil"/>
              <w:right w:val="nil"/>
            </w:tcBorders>
          </w:tcPr>
          <w:p w:rsidR="00127D09" w:rsidRPr="00227C94" w:rsidRDefault="00127D09" w:rsidP="00127D09">
            <w:pPr>
              <w:pStyle w:val="tblText02"/>
              <w:rPr>
                <w:w w:val="0"/>
                <w:lang w:val="en-US"/>
              </w:rPr>
            </w:pPr>
            <w:r w:rsidRPr="00227C94">
              <w:rPr>
                <w:w w:val="0"/>
                <w:lang w:val="en-US"/>
              </w:rPr>
              <w:t>Effect of translation to presentation currency</w:t>
            </w:r>
          </w:p>
        </w:tc>
        <w:tc>
          <w:tcPr>
            <w:tcW w:w="1417" w:type="dxa"/>
            <w:tcBorders>
              <w:top w:val="nil"/>
              <w:left w:val="nil"/>
              <w:bottom w:val="nil"/>
              <w:right w:val="nil"/>
            </w:tcBorders>
            <w:vAlign w:val="bottom"/>
          </w:tcPr>
          <w:p w:rsidR="00127D09" w:rsidRPr="00227C94" w:rsidRDefault="00127D09" w:rsidP="00127D09">
            <w:pPr>
              <w:pStyle w:val="tblNumber00"/>
            </w:pPr>
            <w:r w:rsidRPr="00227C94">
              <w:t>(10,117)</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1"/>
            </w:pPr>
            <w:r w:rsidRPr="00227C94">
              <w:t>23,016</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bottom w:val="nil"/>
              <w:right w:val="nil"/>
            </w:tcBorders>
            <w:vAlign w:val="bottom"/>
          </w:tcPr>
          <w:p w:rsidR="00127D09" w:rsidRPr="00227C94" w:rsidRDefault="00127D09" w:rsidP="00127D09">
            <w:pPr>
              <w:pStyle w:val="tblNumber00"/>
            </w:pPr>
            <w:r w:rsidRPr="00227C94">
              <w:t>(39,541)</w:t>
            </w:r>
          </w:p>
        </w:tc>
      </w:tr>
      <w:tr w:rsidR="00127D09" w:rsidRPr="00227C94" w:rsidTr="00F22941">
        <w:trPr>
          <w:cantSplit/>
        </w:trPr>
        <w:tc>
          <w:tcPr>
            <w:tcW w:w="4118" w:type="dxa"/>
            <w:tcBorders>
              <w:top w:val="nil"/>
              <w:left w:val="nil"/>
              <w:bottom w:val="nil"/>
              <w:right w:val="nil"/>
            </w:tcBorders>
          </w:tcPr>
          <w:p w:rsidR="00127D09" w:rsidRPr="00227C94" w:rsidRDefault="00127D09" w:rsidP="00127D09">
            <w:pPr>
              <w:pStyle w:val="tblText02"/>
              <w:rPr>
                <w:b/>
                <w:w w:val="0"/>
                <w:lang w:val="en-US"/>
              </w:rPr>
            </w:pPr>
            <w:r w:rsidRPr="00227C94">
              <w:rPr>
                <w:b/>
                <w:w w:val="0"/>
                <w:lang w:val="en-US"/>
              </w:rPr>
              <w:t>Net increase in cash and cash equivalents</w:t>
            </w:r>
          </w:p>
        </w:tc>
        <w:tc>
          <w:tcPr>
            <w:tcW w:w="1417" w:type="dxa"/>
            <w:tcBorders>
              <w:top w:val="nil"/>
              <w:left w:val="nil"/>
              <w:right w:val="nil"/>
            </w:tcBorders>
            <w:vAlign w:val="bottom"/>
          </w:tcPr>
          <w:p w:rsidR="00127D09" w:rsidRPr="00227C94" w:rsidRDefault="00127D09" w:rsidP="00127D09">
            <w:pPr>
              <w:pStyle w:val="tblNumber01"/>
            </w:pPr>
            <w:r w:rsidRPr="00227C94">
              <w:t>200,623</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right w:val="nil"/>
            </w:tcBorders>
            <w:vAlign w:val="bottom"/>
          </w:tcPr>
          <w:p w:rsidR="00127D09" w:rsidRPr="00227C94" w:rsidRDefault="00127D09" w:rsidP="00127D09">
            <w:pPr>
              <w:pStyle w:val="tblNumber01"/>
            </w:pPr>
            <w:r w:rsidRPr="00227C94">
              <w:t>73,048</w:t>
            </w:r>
          </w:p>
        </w:tc>
        <w:tc>
          <w:tcPr>
            <w:tcW w:w="283" w:type="dxa"/>
            <w:tcBorders>
              <w:top w:val="nil"/>
              <w:left w:val="nil"/>
              <w:bottom w:val="nil"/>
              <w:right w:val="nil"/>
            </w:tcBorders>
            <w:vAlign w:val="bottom"/>
          </w:tcPr>
          <w:p w:rsidR="00127D09" w:rsidRPr="00227C94" w:rsidRDefault="00127D09" w:rsidP="00127D09">
            <w:pPr>
              <w:pStyle w:val="tblNumber01"/>
            </w:pPr>
          </w:p>
        </w:tc>
        <w:tc>
          <w:tcPr>
            <w:tcW w:w="1417" w:type="dxa"/>
            <w:tcBorders>
              <w:top w:val="nil"/>
              <w:left w:val="nil"/>
              <w:right w:val="nil"/>
            </w:tcBorders>
            <w:vAlign w:val="bottom"/>
          </w:tcPr>
          <w:p w:rsidR="00127D09" w:rsidRPr="00227C94" w:rsidRDefault="00127D09" w:rsidP="00127D09">
            <w:pPr>
              <w:pStyle w:val="tblNumber01"/>
            </w:pPr>
            <w:r w:rsidRPr="00227C94">
              <w:t>370,084</w:t>
            </w:r>
          </w:p>
        </w:tc>
      </w:tr>
      <w:tr w:rsidR="00127D09" w:rsidRPr="00227C94" w:rsidTr="00F22941">
        <w:trPr>
          <w:cantSplit/>
        </w:trPr>
        <w:tc>
          <w:tcPr>
            <w:tcW w:w="4118" w:type="dxa"/>
            <w:tcBorders>
              <w:top w:val="nil"/>
              <w:left w:val="nil"/>
              <w:bottom w:val="nil"/>
              <w:right w:val="nil"/>
            </w:tcBorders>
          </w:tcPr>
          <w:p w:rsidR="00127D09" w:rsidRPr="00227C94" w:rsidRDefault="00127D09" w:rsidP="00127D09">
            <w:pPr>
              <w:pStyle w:val="tblText02"/>
              <w:rPr>
                <w:b/>
                <w:w w:val="0"/>
                <w:lang w:val="en-US"/>
              </w:rPr>
            </w:pPr>
            <w:r w:rsidRPr="00227C94">
              <w:rPr>
                <w:b/>
                <w:w w:val="0"/>
                <w:lang w:val="en-US"/>
              </w:rPr>
              <w:t>Cash and cash equivalents at beginning of the period</w:t>
            </w:r>
          </w:p>
        </w:tc>
        <w:tc>
          <w:tcPr>
            <w:tcW w:w="1417" w:type="dxa"/>
            <w:tcBorders>
              <w:top w:val="nil"/>
              <w:left w:val="nil"/>
              <w:bottom w:val="single" w:sz="4" w:space="0" w:color="auto"/>
              <w:right w:val="nil"/>
            </w:tcBorders>
            <w:vAlign w:val="bottom"/>
          </w:tcPr>
          <w:p w:rsidR="00127D09" w:rsidRPr="00227C94" w:rsidRDefault="00127D09" w:rsidP="00127D09">
            <w:pPr>
              <w:pStyle w:val="tblNumber01"/>
              <w:rPr>
                <w:b/>
              </w:rPr>
            </w:pPr>
            <w:r w:rsidRPr="00227C94">
              <w:rPr>
                <w:b/>
              </w:rPr>
              <w:t>657,448</w:t>
            </w: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nil"/>
              <w:left w:val="nil"/>
              <w:bottom w:val="single" w:sz="4" w:space="0" w:color="auto"/>
              <w:right w:val="nil"/>
            </w:tcBorders>
            <w:vAlign w:val="bottom"/>
          </w:tcPr>
          <w:p w:rsidR="00127D09" w:rsidRPr="00227C94" w:rsidRDefault="00127D09" w:rsidP="00127D09">
            <w:pPr>
              <w:pStyle w:val="tblNumber01"/>
              <w:rPr>
                <w:b/>
              </w:rPr>
            </w:pPr>
            <w:r w:rsidRPr="00227C94">
              <w:rPr>
                <w:b/>
              </w:rPr>
              <w:t>326,905</w:t>
            </w: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nil"/>
              <w:left w:val="nil"/>
              <w:bottom w:val="single" w:sz="4" w:space="0" w:color="auto"/>
              <w:right w:val="nil"/>
            </w:tcBorders>
            <w:vAlign w:val="bottom"/>
          </w:tcPr>
          <w:p w:rsidR="00127D09" w:rsidRPr="00227C94" w:rsidRDefault="00127D09" w:rsidP="00127D09">
            <w:pPr>
              <w:pStyle w:val="tblNumber01"/>
              <w:rPr>
                <w:b/>
              </w:rPr>
            </w:pPr>
            <w:r w:rsidRPr="00227C94">
              <w:rPr>
                <w:b/>
              </w:rPr>
              <w:t>326,905</w:t>
            </w:r>
          </w:p>
        </w:tc>
      </w:tr>
      <w:tr w:rsidR="00F22941" w:rsidRPr="00227C94" w:rsidTr="00F22941">
        <w:trPr>
          <w:cantSplit/>
        </w:trPr>
        <w:tc>
          <w:tcPr>
            <w:tcW w:w="4118" w:type="dxa"/>
            <w:tcBorders>
              <w:top w:val="nil"/>
              <w:left w:val="nil"/>
              <w:bottom w:val="nil"/>
              <w:right w:val="nil"/>
            </w:tcBorders>
          </w:tcPr>
          <w:p w:rsidR="00F22941" w:rsidRPr="00227C94" w:rsidRDefault="00F22941" w:rsidP="00127D09">
            <w:pPr>
              <w:pStyle w:val="tblText02"/>
              <w:rPr>
                <w:b/>
                <w:w w:val="0"/>
                <w:lang w:val="en-US"/>
              </w:rPr>
            </w:pPr>
          </w:p>
        </w:tc>
        <w:tc>
          <w:tcPr>
            <w:tcW w:w="1417" w:type="dxa"/>
            <w:tcBorders>
              <w:top w:val="single" w:sz="4" w:space="0" w:color="auto"/>
              <w:left w:val="nil"/>
              <w:right w:val="nil"/>
            </w:tcBorders>
            <w:vAlign w:val="bottom"/>
          </w:tcPr>
          <w:p w:rsidR="00F22941" w:rsidRPr="00227C94" w:rsidRDefault="00F22941" w:rsidP="00127D09">
            <w:pPr>
              <w:pStyle w:val="tblNumber01"/>
              <w:rPr>
                <w:b/>
              </w:rPr>
            </w:pPr>
          </w:p>
        </w:tc>
        <w:tc>
          <w:tcPr>
            <w:tcW w:w="283" w:type="dxa"/>
            <w:tcBorders>
              <w:top w:val="nil"/>
              <w:left w:val="nil"/>
              <w:bottom w:val="nil"/>
              <w:right w:val="nil"/>
            </w:tcBorders>
            <w:vAlign w:val="bottom"/>
          </w:tcPr>
          <w:p w:rsidR="00F22941" w:rsidRPr="00227C94" w:rsidRDefault="00F22941" w:rsidP="00127D09">
            <w:pPr>
              <w:pStyle w:val="tblNumber01"/>
              <w:rPr>
                <w:b/>
              </w:rPr>
            </w:pPr>
          </w:p>
        </w:tc>
        <w:tc>
          <w:tcPr>
            <w:tcW w:w="1417" w:type="dxa"/>
            <w:tcBorders>
              <w:top w:val="single" w:sz="4" w:space="0" w:color="auto"/>
              <w:left w:val="nil"/>
              <w:right w:val="nil"/>
            </w:tcBorders>
            <w:vAlign w:val="bottom"/>
          </w:tcPr>
          <w:p w:rsidR="00F22941" w:rsidRPr="00227C94" w:rsidRDefault="00F22941" w:rsidP="00127D09">
            <w:pPr>
              <w:pStyle w:val="tblNumber01"/>
              <w:rPr>
                <w:b/>
              </w:rPr>
            </w:pPr>
          </w:p>
        </w:tc>
        <w:tc>
          <w:tcPr>
            <w:tcW w:w="283" w:type="dxa"/>
            <w:tcBorders>
              <w:top w:val="nil"/>
              <w:left w:val="nil"/>
              <w:bottom w:val="nil"/>
              <w:right w:val="nil"/>
            </w:tcBorders>
            <w:vAlign w:val="bottom"/>
          </w:tcPr>
          <w:p w:rsidR="00F22941" w:rsidRPr="00227C94" w:rsidRDefault="00F22941" w:rsidP="00127D09">
            <w:pPr>
              <w:pStyle w:val="tblNumber01"/>
              <w:rPr>
                <w:b/>
              </w:rPr>
            </w:pPr>
          </w:p>
        </w:tc>
        <w:tc>
          <w:tcPr>
            <w:tcW w:w="1417" w:type="dxa"/>
            <w:tcBorders>
              <w:top w:val="single" w:sz="4" w:space="0" w:color="auto"/>
              <w:left w:val="nil"/>
              <w:right w:val="nil"/>
            </w:tcBorders>
            <w:vAlign w:val="bottom"/>
          </w:tcPr>
          <w:p w:rsidR="00F22941" w:rsidRPr="00227C94" w:rsidRDefault="00F22941" w:rsidP="00127D09">
            <w:pPr>
              <w:pStyle w:val="tblNumber01"/>
              <w:rPr>
                <w:b/>
              </w:rPr>
            </w:pPr>
          </w:p>
        </w:tc>
      </w:tr>
      <w:tr w:rsidR="00127D09" w:rsidRPr="00227C94" w:rsidTr="00F22941">
        <w:trPr>
          <w:cantSplit/>
        </w:trPr>
        <w:tc>
          <w:tcPr>
            <w:tcW w:w="4118" w:type="dxa"/>
            <w:tcBorders>
              <w:top w:val="nil"/>
              <w:left w:val="nil"/>
              <w:bottom w:val="nil"/>
              <w:right w:val="nil"/>
            </w:tcBorders>
          </w:tcPr>
          <w:p w:rsidR="00127D09" w:rsidRPr="00227C94" w:rsidRDefault="00127D09" w:rsidP="00127D09">
            <w:pPr>
              <w:pStyle w:val="tblText02"/>
              <w:rPr>
                <w:b/>
                <w:w w:val="0"/>
                <w:lang w:val="en-US"/>
              </w:rPr>
            </w:pPr>
            <w:r w:rsidRPr="00227C94">
              <w:rPr>
                <w:b/>
                <w:w w:val="0"/>
                <w:lang w:val="en-US"/>
              </w:rPr>
              <w:t>Cash and cash equivalents at end of the period</w:t>
            </w:r>
          </w:p>
        </w:tc>
        <w:tc>
          <w:tcPr>
            <w:tcW w:w="1417" w:type="dxa"/>
            <w:tcBorders>
              <w:top w:val="nil"/>
              <w:left w:val="nil"/>
              <w:bottom w:val="double" w:sz="4" w:space="0" w:color="auto"/>
              <w:right w:val="nil"/>
            </w:tcBorders>
            <w:vAlign w:val="bottom"/>
          </w:tcPr>
          <w:p w:rsidR="00127D09" w:rsidRPr="00227C94" w:rsidRDefault="00127D09" w:rsidP="00127D09">
            <w:pPr>
              <w:pStyle w:val="tblNumber01"/>
              <w:rPr>
                <w:b/>
              </w:rPr>
            </w:pPr>
            <w:r w:rsidRPr="00227C94">
              <w:rPr>
                <w:b/>
              </w:rPr>
              <w:t>847,954</w:t>
            </w: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nil"/>
              <w:left w:val="nil"/>
              <w:bottom w:val="double" w:sz="4" w:space="0" w:color="auto"/>
              <w:right w:val="nil"/>
            </w:tcBorders>
            <w:vAlign w:val="bottom"/>
          </w:tcPr>
          <w:p w:rsidR="00127D09" w:rsidRPr="00227C94" w:rsidRDefault="00127D09" w:rsidP="00127D09">
            <w:pPr>
              <w:pStyle w:val="tblNumber01"/>
              <w:rPr>
                <w:b/>
              </w:rPr>
            </w:pPr>
            <w:r w:rsidRPr="00227C94">
              <w:rPr>
                <w:b/>
              </w:rPr>
              <w:t>422,969</w:t>
            </w:r>
          </w:p>
        </w:tc>
        <w:tc>
          <w:tcPr>
            <w:tcW w:w="283" w:type="dxa"/>
            <w:tcBorders>
              <w:top w:val="nil"/>
              <w:left w:val="nil"/>
              <w:bottom w:val="nil"/>
              <w:right w:val="nil"/>
            </w:tcBorders>
            <w:vAlign w:val="bottom"/>
          </w:tcPr>
          <w:p w:rsidR="00127D09" w:rsidRPr="00227C94" w:rsidRDefault="00127D09" w:rsidP="00127D09">
            <w:pPr>
              <w:pStyle w:val="tblNumber01"/>
              <w:rPr>
                <w:b/>
              </w:rPr>
            </w:pPr>
          </w:p>
        </w:tc>
        <w:tc>
          <w:tcPr>
            <w:tcW w:w="1417" w:type="dxa"/>
            <w:tcBorders>
              <w:top w:val="nil"/>
              <w:left w:val="nil"/>
              <w:bottom w:val="double" w:sz="4" w:space="0" w:color="auto"/>
              <w:right w:val="nil"/>
            </w:tcBorders>
            <w:vAlign w:val="bottom"/>
          </w:tcPr>
          <w:p w:rsidR="00127D09" w:rsidRPr="00227C94" w:rsidRDefault="00127D09" w:rsidP="00127D09">
            <w:pPr>
              <w:pStyle w:val="tblNumber01"/>
              <w:rPr>
                <w:b/>
              </w:rPr>
            </w:pPr>
            <w:r w:rsidRPr="00227C94">
              <w:rPr>
                <w:b/>
              </w:rPr>
              <w:t>657,448</w:t>
            </w:r>
          </w:p>
        </w:tc>
      </w:tr>
    </w:tbl>
    <w:p w:rsidR="00127D09" w:rsidRPr="00227C94" w:rsidRDefault="00127D09" w:rsidP="00127D09">
      <w:pPr>
        <w:pStyle w:val="23"/>
        <w:rPr>
          <w:color w:val="auto"/>
          <w:sz w:val="18"/>
          <w:szCs w:val="18"/>
        </w:rPr>
      </w:pPr>
      <w:r w:rsidRPr="00227C94">
        <w:rPr>
          <w:color w:val="auto"/>
          <w:sz w:val="18"/>
          <w:szCs w:val="18"/>
        </w:rPr>
        <w:t>_______</w:t>
      </w:r>
      <w:r w:rsidRPr="00227C94">
        <w:rPr>
          <w:color w:val="auto"/>
          <w:sz w:val="18"/>
          <w:szCs w:val="18"/>
          <w:lang w:val="en-US"/>
        </w:rPr>
        <w:t>____________</w:t>
      </w:r>
      <w:r w:rsidRPr="00227C94">
        <w:rPr>
          <w:color w:val="auto"/>
          <w:sz w:val="18"/>
          <w:szCs w:val="18"/>
        </w:rPr>
        <w:t>_________</w:t>
      </w:r>
    </w:p>
    <w:p w:rsidR="00916675" w:rsidRPr="00227C94" w:rsidRDefault="00916675" w:rsidP="002E73D5">
      <w:pPr>
        <w:pStyle w:val="2"/>
        <w:numPr>
          <w:ilvl w:val="0"/>
          <w:numId w:val="26"/>
        </w:numPr>
        <w:rPr>
          <w:w w:val="0"/>
          <w:sz w:val="18"/>
          <w:lang w:val="en-US"/>
        </w:rPr>
      </w:pPr>
      <w:bookmarkStart w:id="361" w:name="_DV_M373"/>
      <w:bookmarkEnd w:id="361"/>
      <w:r w:rsidRPr="00227C94">
        <w:rPr>
          <w:w w:val="0"/>
          <w:sz w:val="18"/>
          <w:lang w:val="en-US"/>
        </w:rPr>
        <w:t xml:space="preserve">Adjustments for non-cash items include: amortisation and depreciation, finance costs, loss on disposal of property, plant and equipment, impairment of property, plant and equipment, expensed stripping costs, change in allowance for reimbursable value added tax, income/(loss) from investments, change in fair value of derivative, net foreign exchange </w:t>
      </w:r>
      <w:bookmarkStart w:id="362" w:name="_DV_C231"/>
      <w:r w:rsidRPr="00227C94">
        <w:rPr>
          <w:w w:val="0"/>
          <w:sz w:val="18"/>
          <w:lang w:val="en-US"/>
        </w:rPr>
        <w:t>gain and</w:t>
      </w:r>
      <w:bookmarkStart w:id="363" w:name="_DV_M374"/>
      <w:bookmarkEnd w:id="362"/>
      <w:bookmarkEnd w:id="363"/>
      <w:r w:rsidRPr="00227C94">
        <w:rPr>
          <w:w w:val="0"/>
          <w:sz w:val="18"/>
          <w:lang w:val="en-US"/>
        </w:rPr>
        <w:t xml:space="preserve"> other items.</w:t>
      </w:r>
    </w:p>
    <w:p w:rsidR="00916675" w:rsidRPr="00227C94" w:rsidRDefault="00916675" w:rsidP="00127D09">
      <w:pPr>
        <w:pStyle w:val="2"/>
        <w:rPr>
          <w:w w:val="0"/>
          <w:sz w:val="18"/>
          <w:lang w:val="en-US"/>
        </w:rPr>
      </w:pPr>
      <w:bookmarkStart w:id="364" w:name="_DV_M375"/>
      <w:bookmarkEnd w:id="364"/>
      <w:r w:rsidRPr="00227C94">
        <w:rPr>
          <w:spacing w:val="-2"/>
          <w:w w:val="0"/>
          <w:sz w:val="18"/>
          <w:lang w:val="en-US"/>
        </w:rPr>
        <w:t xml:space="preserve">Capital expenditures, acquisition of subsidiaries and deferred stripping costs include purchases of property, </w:t>
      </w:r>
      <w:r w:rsidRPr="00227C94">
        <w:rPr>
          <w:w w:val="0"/>
          <w:sz w:val="18"/>
          <w:lang w:val="en-US"/>
        </w:rPr>
        <w:t xml:space="preserve">plant and equipment, </w:t>
      </w:r>
      <w:bookmarkStart w:id="365" w:name="_DV_M376"/>
      <w:bookmarkEnd w:id="365"/>
      <w:r w:rsidRPr="00227C94">
        <w:rPr>
          <w:w w:val="0"/>
          <w:sz w:val="18"/>
          <w:lang w:val="en-US"/>
        </w:rPr>
        <w:t>deferred stripping costs capitalised and proceeds from sale of property, plant and equipment.</w:t>
      </w:r>
    </w:p>
    <w:p w:rsidR="00916675" w:rsidRPr="00227C94" w:rsidRDefault="00916675" w:rsidP="00127D09">
      <w:pPr>
        <w:pStyle w:val="2"/>
        <w:rPr>
          <w:spacing w:val="-2"/>
          <w:w w:val="0"/>
          <w:sz w:val="18"/>
          <w:lang w:val="en-US"/>
        </w:rPr>
      </w:pPr>
      <w:bookmarkStart w:id="366" w:name="_DV_M377"/>
      <w:bookmarkEnd w:id="366"/>
      <w:r w:rsidRPr="00227C94">
        <w:rPr>
          <w:spacing w:val="-2"/>
          <w:w w:val="0"/>
          <w:sz w:val="18"/>
          <w:lang w:val="en-US"/>
        </w:rPr>
        <w:t>Other investing activities include interest received, purchase of promissory notes and other financial assets, proceeds from sale of promissory notes and other financial assets.</w:t>
      </w:r>
    </w:p>
    <w:p w:rsidR="00916675" w:rsidRPr="00227C94" w:rsidRDefault="005A3237" w:rsidP="005A3237">
      <w:pPr>
        <w:pStyle w:val="31"/>
        <w:rPr>
          <w:b w:val="0"/>
          <w:w w:val="0"/>
          <w:lang w:val="en-US"/>
        </w:rPr>
      </w:pPr>
      <w:bookmarkStart w:id="367" w:name="_DV_M378"/>
      <w:bookmarkEnd w:id="367"/>
      <w:r w:rsidRPr="00227C94">
        <w:rPr>
          <w:b w:val="0"/>
          <w:w w:val="0"/>
          <w:lang w:val="en-US"/>
        </w:rPr>
        <w:br w:type="page"/>
      </w:r>
      <w:r w:rsidR="00916675" w:rsidRPr="00227C94">
        <w:rPr>
          <w:b w:val="0"/>
          <w:w w:val="0"/>
        </w:rPr>
        <w:lastRenderedPageBreak/>
        <w:t>Operating activities</w:t>
      </w:r>
    </w:p>
    <w:p w:rsidR="005A3237" w:rsidRPr="00227C94" w:rsidRDefault="005A3237" w:rsidP="005A3237">
      <w:pPr>
        <w:pStyle w:val="23"/>
        <w:spacing w:line="180" w:lineRule="exact"/>
        <w:rPr>
          <w:color w:val="auto"/>
          <w:lang w:val="en-US"/>
        </w:rPr>
      </w:pPr>
    </w:p>
    <w:p w:rsidR="00916675" w:rsidRPr="00227C94" w:rsidRDefault="00916675" w:rsidP="005A3237">
      <w:pPr>
        <w:pStyle w:val="23"/>
        <w:rPr>
          <w:color w:val="auto"/>
          <w:w w:val="0"/>
          <w:lang w:val="en-US"/>
        </w:rPr>
      </w:pPr>
      <w:bookmarkStart w:id="368" w:name="_DV_M379"/>
      <w:bookmarkEnd w:id="368"/>
      <w:r w:rsidRPr="00227C94">
        <w:rPr>
          <w:color w:val="auto"/>
          <w:w w:val="0"/>
          <w:lang w:val="en-US"/>
        </w:rPr>
        <w:t xml:space="preserve">In the first six months of 2012, the Group </w:t>
      </w:r>
      <w:bookmarkStart w:id="369" w:name="_DV_C233"/>
      <w:r w:rsidRPr="00227C94">
        <w:rPr>
          <w:color w:val="auto"/>
          <w:w w:val="0"/>
          <w:lang w:val="en-US"/>
        </w:rPr>
        <w:t>generated profit</w:t>
      </w:r>
      <w:bookmarkStart w:id="370" w:name="_DV_M380"/>
      <w:bookmarkEnd w:id="369"/>
      <w:bookmarkEnd w:id="370"/>
      <w:r w:rsidRPr="00227C94">
        <w:rPr>
          <w:color w:val="auto"/>
          <w:w w:val="0"/>
          <w:lang w:val="en-US"/>
        </w:rPr>
        <w:t xml:space="preserve"> before income tax in the amount of </w:t>
      </w:r>
      <w:r w:rsidRPr="00227C94">
        <w:rPr>
          <w:color w:val="auto"/>
          <w:spacing w:val="-4"/>
          <w:w w:val="0"/>
          <w:lang w:val="en-US"/>
        </w:rPr>
        <w:t>USD538</w:t>
      </w:r>
      <w:proofErr w:type="gramStart"/>
      <w:r w:rsidRPr="00227C94">
        <w:rPr>
          <w:color w:val="auto"/>
          <w:spacing w:val="-4"/>
          <w:w w:val="0"/>
          <w:lang w:val="en-US"/>
        </w:rPr>
        <w:t>,922</w:t>
      </w:r>
      <w:proofErr w:type="gramEnd"/>
      <w:r w:rsidRPr="00227C94">
        <w:rPr>
          <w:color w:val="auto"/>
          <w:spacing w:val="-4"/>
          <w:w w:val="0"/>
          <w:lang w:val="en-US"/>
        </w:rPr>
        <w:t xml:space="preserve"> thousand, compared to USD</w:t>
      </w:r>
      <w:r w:rsidRPr="00227C94">
        <w:rPr>
          <w:color w:val="auto"/>
          <w:spacing w:val="-4"/>
          <w:lang w:val="en-US"/>
        </w:rPr>
        <w:t xml:space="preserve">267,200 </w:t>
      </w:r>
      <w:r w:rsidRPr="00227C94">
        <w:rPr>
          <w:color w:val="auto"/>
          <w:spacing w:val="-4"/>
          <w:w w:val="0"/>
          <w:lang w:val="en-US"/>
        </w:rPr>
        <w:t xml:space="preserve">thousand in the first six months of 2011. The increase in profit before taxation resulted from a combination of the </w:t>
      </w:r>
      <w:bookmarkStart w:id="371" w:name="_DV_C235"/>
      <w:r w:rsidRPr="00227C94">
        <w:rPr>
          <w:color w:val="auto"/>
          <w:spacing w:val="-4"/>
          <w:w w:val="0"/>
          <w:lang w:val="en-US"/>
        </w:rPr>
        <w:t>increasing</w:t>
      </w:r>
      <w:bookmarkStart w:id="372" w:name="_DV_M381"/>
      <w:bookmarkEnd w:id="371"/>
      <w:bookmarkEnd w:id="372"/>
      <w:r w:rsidRPr="00227C94">
        <w:rPr>
          <w:color w:val="auto"/>
          <w:spacing w:val="-4"/>
          <w:w w:val="0"/>
          <w:lang w:val="en-US"/>
        </w:rPr>
        <w:t xml:space="preserve"> selling prices and higher gold sales </w:t>
      </w:r>
      <w:r w:rsidRPr="00227C94">
        <w:rPr>
          <w:color w:val="auto"/>
          <w:spacing w:val="-2"/>
          <w:w w:val="0"/>
          <w:lang w:val="en-US"/>
        </w:rPr>
        <w:t>volumes. Operating profit before working capital changes was USD</w:t>
      </w:r>
      <w:r w:rsidRPr="00227C94">
        <w:rPr>
          <w:color w:val="auto"/>
          <w:spacing w:val="-2"/>
          <w:lang w:val="en-US"/>
        </w:rPr>
        <w:t>633</w:t>
      </w:r>
      <w:proofErr w:type="gramStart"/>
      <w:r w:rsidRPr="00227C94">
        <w:rPr>
          <w:color w:val="auto"/>
          <w:spacing w:val="-2"/>
          <w:lang w:val="en-US"/>
        </w:rPr>
        <w:t>,659</w:t>
      </w:r>
      <w:proofErr w:type="gramEnd"/>
      <w:r w:rsidRPr="00227C94">
        <w:rPr>
          <w:color w:val="auto"/>
          <w:spacing w:val="-2"/>
          <w:lang w:val="en-US"/>
        </w:rPr>
        <w:t xml:space="preserve"> </w:t>
      </w:r>
      <w:r w:rsidRPr="00227C94">
        <w:rPr>
          <w:color w:val="auto"/>
          <w:spacing w:val="-2"/>
          <w:w w:val="0"/>
          <w:lang w:val="en-US"/>
        </w:rPr>
        <w:t xml:space="preserve">thousand, which was 39% </w:t>
      </w:r>
      <w:r w:rsidRPr="00227C94">
        <w:rPr>
          <w:color w:val="auto"/>
          <w:w w:val="0"/>
          <w:lang w:val="en-US"/>
        </w:rPr>
        <w:t xml:space="preserve">more than in the same period of the previous year. In the first half of 2012 changes in working capital were substantially lower than in the first half of 2011, when the Group recorded a material increase in inventories. Net cash generated from operating activities </w:t>
      </w:r>
      <w:bookmarkStart w:id="373" w:name="_DV_C237"/>
      <w:r w:rsidRPr="00227C94">
        <w:rPr>
          <w:color w:val="auto"/>
          <w:w w:val="0"/>
          <w:lang w:val="en-US"/>
        </w:rPr>
        <w:t>increased from</w:t>
      </w:r>
      <w:bookmarkStart w:id="374" w:name="_DV_M382"/>
      <w:bookmarkEnd w:id="373"/>
      <w:bookmarkEnd w:id="374"/>
      <w:r w:rsidRPr="00227C94">
        <w:rPr>
          <w:color w:val="auto"/>
          <w:w w:val="0"/>
          <w:lang w:val="en-US"/>
        </w:rPr>
        <w:t xml:space="preserve"> USD290</w:t>
      </w:r>
      <w:proofErr w:type="gramStart"/>
      <w:r w:rsidRPr="00227C94">
        <w:rPr>
          <w:color w:val="auto"/>
          <w:w w:val="0"/>
          <w:lang w:val="en-US"/>
        </w:rPr>
        <w:t>,874</w:t>
      </w:r>
      <w:proofErr w:type="gramEnd"/>
      <w:r w:rsidRPr="00227C94">
        <w:rPr>
          <w:color w:val="auto"/>
          <w:w w:val="0"/>
          <w:lang w:val="en-US"/>
        </w:rPr>
        <w:t xml:space="preserve"> thousand in the first half of 2011 to USD</w:t>
      </w:r>
      <w:r w:rsidRPr="00227C94">
        <w:rPr>
          <w:color w:val="auto"/>
          <w:lang w:val="en-US"/>
        </w:rPr>
        <w:t xml:space="preserve">451,240 </w:t>
      </w:r>
      <w:r w:rsidRPr="00227C94">
        <w:rPr>
          <w:color w:val="auto"/>
          <w:w w:val="0"/>
          <w:lang w:val="en-US"/>
        </w:rPr>
        <w:t>thousand in the first half of 2012.</w:t>
      </w:r>
    </w:p>
    <w:p w:rsidR="005A3237" w:rsidRPr="00227C94" w:rsidRDefault="005A3237" w:rsidP="005A3237">
      <w:pPr>
        <w:pStyle w:val="23"/>
        <w:spacing w:line="180" w:lineRule="exact"/>
        <w:rPr>
          <w:color w:val="auto"/>
          <w:w w:val="0"/>
          <w:lang w:val="en-US"/>
        </w:rPr>
      </w:pPr>
    </w:p>
    <w:p w:rsidR="00916675" w:rsidRPr="00227C94" w:rsidRDefault="00916675" w:rsidP="005A3237">
      <w:pPr>
        <w:pStyle w:val="31"/>
        <w:rPr>
          <w:b w:val="0"/>
          <w:w w:val="0"/>
          <w:lang w:val="en-US"/>
        </w:rPr>
      </w:pPr>
      <w:bookmarkStart w:id="375" w:name="_DV_M383"/>
      <w:bookmarkEnd w:id="375"/>
      <w:r w:rsidRPr="00227C94">
        <w:rPr>
          <w:b w:val="0"/>
          <w:w w:val="0"/>
        </w:rPr>
        <w:t>Investing activities</w:t>
      </w:r>
    </w:p>
    <w:p w:rsidR="005A3237" w:rsidRPr="00227C94" w:rsidRDefault="005A3237" w:rsidP="005A3237">
      <w:pPr>
        <w:pStyle w:val="23"/>
        <w:spacing w:line="180" w:lineRule="exact"/>
        <w:rPr>
          <w:color w:val="auto"/>
          <w:lang w:val="en-US"/>
        </w:rPr>
      </w:pPr>
    </w:p>
    <w:p w:rsidR="00916675" w:rsidRPr="00227C94" w:rsidRDefault="00916675" w:rsidP="005A3237">
      <w:pPr>
        <w:pStyle w:val="23"/>
        <w:rPr>
          <w:color w:val="auto"/>
          <w:spacing w:val="-2"/>
          <w:w w:val="0"/>
          <w:lang w:val="en-US"/>
        </w:rPr>
      </w:pPr>
      <w:bookmarkStart w:id="376" w:name="_DV_M384"/>
      <w:bookmarkEnd w:id="376"/>
      <w:r w:rsidRPr="00227C94">
        <w:rPr>
          <w:color w:val="auto"/>
          <w:w w:val="0"/>
          <w:lang w:val="en-US"/>
        </w:rPr>
        <w:t>In the first half of 2012, the Group spent USD</w:t>
      </w:r>
      <w:r w:rsidRPr="00227C94">
        <w:rPr>
          <w:color w:val="auto"/>
          <w:lang w:val="en-US"/>
        </w:rPr>
        <w:t>262</w:t>
      </w:r>
      <w:proofErr w:type="gramStart"/>
      <w:r w:rsidRPr="00227C94">
        <w:rPr>
          <w:color w:val="auto"/>
          <w:lang w:val="en-US"/>
        </w:rPr>
        <w:t>,921</w:t>
      </w:r>
      <w:proofErr w:type="gramEnd"/>
      <w:r w:rsidRPr="00227C94">
        <w:rPr>
          <w:color w:val="auto"/>
          <w:w w:val="0"/>
          <w:lang w:val="en-US"/>
        </w:rPr>
        <w:t xml:space="preserve"> thousand on investing activities, while in the first half of 2011 it spent USD208,729 thousand. The largest spending during the reporting period </w:t>
      </w:r>
      <w:r w:rsidRPr="00227C94">
        <w:rPr>
          <w:color w:val="auto"/>
          <w:spacing w:val="-2"/>
          <w:w w:val="0"/>
          <w:lang w:val="en-US"/>
        </w:rPr>
        <w:t>comprised capital expenditures and deferred stripping costs totalling USD</w:t>
      </w:r>
      <w:r w:rsidRPr="00227C94">
        <w:rPr>
          <w:color w:val="auto"/>
          <w:spacing w:val="-2"/>
          <w:lang w:val="en-US"/>
        </w:rPr>
        <w:t>278</w:t>
      </w:r>
      <w:proofErr w:type="gramStart"/>
      <w:r w:rsidRPr="00227C94">
        <w:rPr>
          <w:color w:val="auto"/>
          <w:spacing w:val="-2"/>
          <w:lang w:val="en-US"/>
        </w:rPr>
        <w:t>,937</w:t>
      </w:r>
      <w:proofErr w:type="gramEnd"/>
      <w:r w:rsidRPr="00227C94">
        <w:rPr>
          <w:color w:val="auto"/>
          <w:spacing w:val="-2"/>
          <w:w w:val="0"/>
          <w:lang w:val="en-US"/>
        </w:rPr>
        <w:t xml:space="preserve"> thousand, compared to USD180,273 thousand in the same period of </w:t>
      </w:r>
      <w:bookmarkStart w:id="377" w:name="_DV_C239"/>
      <w:r w:rsidRPr="00227C94">
        <w:rPr>
          <w:color w:val="auto"/>
          <w:spacing w:val="-2"/>
          <w:w w:val="0"/>
          <w:lang w:val="en-US"/>
        </w:rPr>
        <w:t>2011.</w:t>
      </w:r>
      <w:bookmarkStart w:id="378" w:name="_DV_M385"/>
      <w:bookmarkEnd w:id="377"/>
      <w:bookmarkEnd w:id="378"/>
      <w:r w:rsidRPr="00227C94">
        <w:rPr>
          <w:color w:val="auto"/>
          <w:spacing w:val="-2"/>
          <w:w w:val="0"/>
          <w:lang w:val="en-US"/>
        </w:rPr>
        <w:t xml:space="preserve"> This outflow was partly offset by proceeds from sale of investments in securities, proceeds from disposal of Romanian assets and interest received.</w:t>
      </w:r>
    </w:p>
    <w:p w:rsidR="005A3237" w:rsidRPr="00227C94" w:rsidRDefault="005A3237" w:rsidP="005A3237">
      <w:pPr>
        <w:pStyle w:val="23"/>
        <w:spacing w:line="180" w:lineRule="exact"/>
        <w:rPr>
          <w:color w:val="auto"/>
          <w:w w:val="0"/>
          <w:lang w:val="en-US"/>
        </w:rPr>
      </w:pPr>
    </w:p>
    <w:p w:rsidR="00916675" w:rsidRPr="00227C94" w:rsidRDefault="00916675" w:rsidP="005A3237">
      <w:pPr>
        <w:pStyle w:val="31"/>
        <w:rPr>
          <w:b w:val="0"/>
          <w:w w:val="0"/>
          <w:lang w:val="en-US"/>
        </w:rPr>
      </w:pPr>
      <w:bookmarkStart w:id="379" w:name="_DV_M387"/>
      <w:bookmarkEnd w:id="379"/>
      <w:r w:rsidRPr="00227C94">
        <w:rPr>
          <w:b w:val="0"/>
          <w:w w:val="0"/>
        </w:rPr>
        <w:t>Financing activities</w:t>
      </w:r>
    </w:p>
    <w:p w:rsidR="005A3237" w:rsidRPr="00227C94" w:rsidRDefault="005A3237" w:rsidP="005A3237">
      <w:pPr>
        <w:pStyle w:val="23"/>
        <w:spacing w:line="180" w:lineRule="exact"/>
        <w:rPr>
          <w:color w:val="auto"/>
          <w:lang w:val="en-US"/>
        </w:rPr>
      </w:pPr>
    </w:p>
    <w:p w:rsidR="00916675" w:rsidRPr="00227C94" w:rsidRDefault="00916675" w:rsidP="005A3237">
      <w:pPr>
        <w:pStyle w:val="23"/>
        <w:rPr>
          <w:color w:val="auto"/>
          <w:w w:val="0"/>
          <w:lang w:val="en-US"/>
        </w:rPr>
      </w:pPr>
      <w:bookmarkStart w:id="380" w:name="_DV_M388"/>
      <w:bookmarkEnd w:id="380"/>
      <w:r w:rsidRPr="00227C94">
        <w:rPr>
          <w:color w:val="auto"/>
          <w:spacing w:val="-4"/>
          <w:w w:val="0"/>
          <w:lang w:val="en-US"/>
        </w:rPr>
        <w:t>Cash inflow from financing activities in the six months ended 30 June 2012 totalled USD12</w:t>
      </w:r>
      <w:proofErr w:type="gramStart"/>
      <w:r w:rsidRPr="00227C94">
        <w:rPr>
          <w:color w:val="auto"/>
          <w:spacing w:val="-4"/>
          <w:w w:val="0"/>
          <w:lang w:val="en-US"/>
        </w:rPr>
        <w:t>,304</w:t>
      </w:r>
      <w:proofErr w:type="gramEnd"/>
      <w:r w:rsidRPr="00227C94">
        <w:rPr>
          <w:color w:val="auto"/>
          <w:spacing w:val="-4"/>
          <w:w w:val="0"/>
          <w:lang w:val="en-US"/>
        </w:rPr>
        <w:t xml:space="preserve"> thousand </w:t>
      </w:r>
      <w:r w:rsidRPr="00227C94">
        <w:rPr>
          <w:color w:val="auto"/>
          <w:spacing w:val="-2"/>
          <w:w w:val="0"/>
          <w:lang w:val="en-US"/>
        </w:rPr>
        <w:t xml:space="preserve">(outflow of USD9,097 thousand in the six months ended 30 June 2011). </w:t>
      </w:r>
      <w:bookmarkStart w:id="381" w:name="_DV_C243"/>
      <w:r w:rsidRPr="00227C94">
        <w:rPr>
          <w:color w:val="auto"/>
          <w:spacing w:val="-2"/>
          <w:w w:val="0"/>
          <w:lang w:val="en-US"/>
        </w:rPr>
        <w:t>Th</w:t>
      </w:r>
      <w:bookmarkEnd w:id="381"/>
      <w:r w:rsidRPr="00227C94">
        <w:rPr>
          <w:color w:val="auto"/>
          <w:spacing w:val="-2"/>
          <w:w w:val="0"/>
          <w:lang w:val="en-US"/>
        </w:rPr>
        <w:t xml:space="preserve">e proceeds from placement </w:t>
      </w:r>
      <w:r w:rsidRPr="00227C94">
        <w:rPr>
          <w:color w:val="auto"/>
          <w:w w:val="0"/>
          <w:lang w:val="en-US"/>
        </w:rPr>
        <w:t>of treasury block and attraction of new loans (total USD822</w:t>
      </w:r>
      <w:proofErr w:type="gramStart"/>
      <w:r w:rsidRPr="00227C94">
        <w:rPr>
          <w:color w:val="auto"/>
          <w:w w:val="0"/>
          <w:lang w:val="en-US"/>
        </w:rPr>
        <w:t>,584</w:t>
      </w:r>
      <w:proofErr w:type="gramEnd"/>
      <w:r w:rsidRPr="00227C94">
        <w:rPr>
          <w:color w:val="auto"/>
          <w:w w:val="0"/>
          <w:lang w:val="en-US"/>
        </w:rPr>
        <w:t xml:space="preserve"> thousand) were almost fully offset by outflow for loans repayments and dividends pay-out (totally USD810,280).</w:t>
      </w:r>
    </w:p>
    <w:p w:rsidR="00916675" w:rsidRPr="00227C94" w:rsidRDefault="00916675" w:rsidP="005A3237">
      <w:pPr>
        <w:pStyle w:val="23"/>
        <w:spacing w:line="180" w:lineRule="exact"/>
        <w:rPr>
          <w:color w:val="auto"/>
          <w:w w:val="0"/>
          <w:lang w:val="en-US"/>
        </w:rPr>
      </w:pPr>
    </w:p>
    <w:p w:rsidR="00916675" w:rsidRPr="00227C94" w:rsidRDefault="00916675" w:rsidP="005A3237">
      <w:pPr>
        <w:pStyle w:val="22"/>
        <w:rPr>
          <w:w w:val="0"/>
          <w:lang w:val="en-US"/>
        </w:rPr>
      </w:pPr>
      <w:bookmarkStart w:id="382" w:name="_DV_M390"/>
      <w:bookmarkStart w:id="383" w:name="_Toc303889398"/>
      <w:bookmarkStart w:id="384" w:name="_Toc304205612"/>
      <w:bookmarkEnd w:id="382"/>
      <w:r w:rsidRPr="00227C94">
        <w:rPr>
          <w:w w:val="0"/>
        </w:rPr>
        <w:t xml:space="preserve">4.3 Capital </w:t>
      </w:r>
      <w:bookmarkStart w:id="385" w:name="_DV_C245"/>
      <w:r w:rsidRPr="00227C94">
        <w:rPr>
          <w:w w:val="0"/>
        </w:rPr>
        <w:t>expenditures</w:t>
      </w:r>
      <w:bookmarkEnd w:id="383"/>
      <w:bookmarkEnd w:id="384"/>
      <w:bookmarkEnd w:id="385"/>
    </w:p>
    <w:p w:rsidR="005A3237" w:rsidRPr="00227C94" w:rsidRDefault="005A3237" w:rsidP="005A3237">
      <w:pPr>
        <w:pStyle w:val="23"/>
        <w:spacing w:line="180" w:lineRule="exact"/>
        <w:rPr>
          <w:color w:val="auto"/>
          <w:lang w:val="en-US"/>
        </w:rPr>
      </w:pPr>
    </w:p>
    <w:p w:rsidR="00916675" w:rsidRPr="00227C94" w:rsidRDefault="00916675" w:rsidP="005A3237">
      <w:pPr>
        <w:pStyle w:val="23"/>
        <w:rPr>
          <w:color w:val="auto"/>
          <w:w w:val="0"/>
          <w:lang w:val="en-US"/>
        </w:rPr>
      </w:pPr>
      <w:bookmarkStart w:id="386" w:name="_DV_M392"/>
      <w:bookmarkEnd w:id="386"/>
      <w:r w:rsidRPr="00227C94">
        <w:rPr>
          <w:color w:val="auto"/>
          <w:w w:val="0"/>
          <w:lang w:val="en-US"/>
        </w:rPr>
        <w:t>Capital expenditures represent the Group’s purchase of property, plant and equipment</w:t>
      </w:r>
      <w:r w:rsidR="005A3237" w:rsidRPr="00227C94">
        <w:rPr>
          <w:color w:val="auto"/>
          <w:w w:val="0"/>
          <w:lang w:val="en-US"/>
        </w:rPr>
        <w:t>.</w:t>
      </w:r>
    </w:p>
    <w:p w:rsidR="005A3237" w:rsidRPr="00227C94" w:rsidRDefault="005A3237" w:rsidP="005A3237">
      <w:pPr>
        <w:pStyle w:val="23"/>
        <w:spacing w:line="180" w:lineRule="exact"/>
        <w:rPr>
          <w:color w:val="auto"/>
          <w:w w:val="0"/>
          <w:lang w:val="en-US"/>
        </w:rPr>
      </w:pPr>
    </w:p>
    <w:p w:rsidR="00916675" w:rsidRPr="00227C94" w:rsidRDefault="00916675" w:rsidP="005A3237">
      <w:pPr>
        <w:pStyle w:val="23"/>
        <w:rPr>
          <w:color w:val="auto"/>
          <w:w w:val="0"/>
          <w:lang w:val="en-US"/>
        </w:rPr>
      </w:pPr>
      <w:bookmarkStart w:id="387" w:name="_DV_M393"/>
      <w:bookmarkEnd w:id="387"/>
      <w:r w:rsidRPr="00227C94">
        <w:rPr>
          <w:color w:val="auto"/>
          <w:w w:val="0"/>
          <w:lang w:val="en-US"/>
        </w:rPr>
        <w:t>The following table shows the Group’s capital expenditures for the six months ended 30 June 2012 and 2011, and for the year ended 31 December 2011:</w:t>
      </w:r>
    </w:p>
    <w:p w:rsidR="005A3237" w:rsidRPr="00227C94" w:rsidRDefault="005A3237" w:rsidP="005A3237">
      <w:pPr>
        <w:pStyle w:val="23"/>
        <w:spacing w:line="180" w:lineRule="exact"/>
        <w:rPr>
          <w:color w:val="auto"/>
          <w:w w:val="0"/>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2928"/>
        <w:gridCol w:w="1417"/>
        <w:gridCol w:w="113"/>
        <w:gridCol w:w="1417"/>
        <w:gridCol w:w="113"/>
        <w:gridCol w:w="1417"/>
        <w:gridCol w:w="113"/>
        <w:gridCol w:w="1417"/>
      </w:tblGrid>
      <w:tr w:rsidR="005A3237" w:rsidRPr="00227C94" w:rsidTr="00A701F4">
        <w:trPr>
          <w:cantSplit/>
        </w:trPr>
        <w:tc>
          <w:tcPr>
            <w:tcW w:w="2928" w:type="dxa"/>
            <w:tcBorders>
              <w:top w:val="nil"/>
              <w:left w:val="nil"/>
              <w:bottom w:val="nil"/>
              <w:right w:val="nil"/>
            </w:tcBorders>
            <w:vAlign w:val="bottom"/>
          </w:tcPr>
          <w:p w:rsidR="005A3237" w:rsidRPr="00227C94" w:rsidRDefault="005A3237" w:rsidP="005A3237">
            <w:pPr>
              <w:pStyle w:val="tblHeaderText"/>
              <w:jc w:val="left"/>
              <w:rPr>
                <w:w w:val="0"/>
                <w:lang w:val="en-US"/>
              </w:rPr>
            </w:pPr>
          </w:p>
        </w:tc>
        <w:tc>
          <w:tcPr>
            <w:tcW w:w="2947" w:type="dxa"/>
            <w:gridSpan w:val="3"/>
            <w:tcBorders>
              <w:top w:val="nil"/>
              <w:left w:val="nil"/>
              <w:bottom w:val="single" w:sz="6" w:space="0" w:color="auto"/>
              <w:right w:val="nil"/>
            </w:tcBorders>
            <w:shd w:val="clear" w:color="auto" w:fill="auto"/>
            <w:vAlign w:val="bottom"/>
          </w:tcPr>
          <w:p w:rsidR="005A3237" w:rsidRPr="00227C94" w:rsidRDefault="005A3237" w:rsidP="005A3237">
            <w:pPr>
              <w:pStyle w:val="tblHeaderText"/>
              <w:rPr>
                <w:w w:val="0"/>
              </w:rPr>
            </w:pPr>
            <w:r w:rsidRPr="00227C94">
              <w:rPr>
                <w:w w:val="0"/>
              </w:rPr>
              <w:t>Six months ended 30 June</w:t>
            </w:r>
          </w:p>
        </w:tc>
        <w:tc>
          <w:tcPr>
            <w:tcW w:w="113" w:type="dxa"/>
            <w:tcBorders>
              <w:top w:val="nil"/>
              <w:left w:val="nil"/>
              <w:bottom w:val="nil"/>
              <w:right w:val="nil"/>
            </w:tcBorders>
          </w:tcPr>
          <w:p w:rsidR="005A3237" w:rsidRPr="00227C94" w:rsidRDefault="005A3237" w:rsidP="005A3237">
            <w:pPr>
              <w:pStyle w:val="tblHeaderText"/>
              <w:rPr>
                <w:w w:val="0"/>
              </w:rPr>
            </w:pPr>
          </w:p>
        </w:tc>
        <w:tc>
          <w:tcPr>
            <w:tcW w:w="1417" w:type="dxa"/>
            <w:tcBorders>
              <w:top w:val="nil"/>
              <w:left w:val="nil"/>
              <w:right w:val="nil"/>
            </w:tcBorders>
            <w:vAlign w:val="bottom"/>
          </w:tcPr>
          <w:p w:rsidR="007B330D" w:rsidRPr="00227C94" w:rsidRDefault="005A3237" w:rsidP="005A3237">
            <w:pPr>
              <w:pStyle w:val="tblHeaderText"/>
              <w:rPr>
                <w:w w:val="0"/>
                <w:lang w:val="en-US"/>
              </w:rPr>
            </w:pPr>
            <w:r w:rsidRPr="00227C94">
              <w:rPr>
                <w:w w:val="0"/>
              </w:rPr>
              <w:t xml:space="preserve">% </w:t>
            </w:r>
          </w:p>
          <w:p w:rsidR="005A3237" w:rsidRPr="00227C94" w:rsidRDefault="005A3237" w:rsidP="005A3237">
            <w:pPr>
              <w:pStyle w:val="tblHeaderText"/>
              <w:rPr>
                <w:w w:val="0"/>
              </w:rPr>
            </w:pPr>
            <w:r w:rsidRPr="00227C94">
              <w:rPr>
                <w:w w:val="0"/>
              </w:rPr>
              <w:t>change</w:t>
            </w:r>
          </w:p>
        </w:tc>
        <w:tc>
          <w:tcPr>
            <w:tcW w:w="113" w:type="dxa"/>
            <w:tcBorders>
              <w:top w:val="nil"/>
              <w:left w:val="nil"/>
              <w:bottom w:val="nil"/>
              <w:right w:val="nil"/>
            </w:tcBorders>
            <w:vAlign w:val="bottom"/>
          </w:tcPr>
          <w:p w:rsidR="005A3237" w:rsidRPr="00227C94" w:rsidRDefault="005A3237" w:rsidP="005A3237">
            <w:pPr>
              <w:pStyle w:val="tblHeaderText"/>
              <w:rPr>
                <w:w w:val="0"/>
              </w:rPr>
            </w:pPr>
          </w:p>
        </w:tc>
        <w:tc>
          <w:tcPr>
            <w:tcW w:w="1417" w:type="dxa"/>
            <w:tcBorders>
              <w:top w:val="nil"/>
              <w:left w:val="nil"/>
              <w:right w:val="nil"/>
            </w:tcBorders>
            <w:vAlign w:val="bottom"/>
          </w:tcPr>
          <w:p w:rsidR="005A3237" w:rsidRPr="00227C94" w:rsidRDefault="005A3237" w:rsidP="005A3237">
            <w:pPr>
              <w:pStyle w:val="tblHeaderText"/>
              <w:rPr>
                <w:w w:val="0"/>
              </w:rPr>
            </w:pPr>
            <w:r w:rsidRPr="00227C94">
              <w:t xml:space="preserve">Year ended </w:t>
            </w:r>
            <w:r w:rsidRPr="00227C94">
              <w:rPr>
                <w:lang w:val="en-US"/>
              </w:rPr>
              <w:br/>
            </w:r>
            <w:r w:rsidRPr="00227C94">
              <w:t>31 December</w:t>
            </w:r>
          </w:p>
        </w:tc>
      </w:tr>
      <w:tr w:rsidR="005A3237" w:rsidRPr="00227C94" w:rsidTr="00A701F4">
        <w:trPr>
          <w:cantSplit/>
        </w:trPr>
        <w:tc>
          <w:tcPr>
            <w:tcW w:w="2928" w:type="dxa"/>
            <w:tcBorders>
              <w:top w:val="nil"/>
              <w:left w:val="nil"/>
              <w:bottom w:val="nil"/>
              <w:right w:val="nil"/>
            </w:tcBorders>
            <w:vAlign w:val="bottom"/>
          </w:tcPr>
          <w:p w:rsidR="005A3237" w:rsidRPr="00227C94" w:rsidRDefault="005A3237" w:rsidP="005A3237">
            <w:pPr>
              <w:pStyle w:val="tblHeaderText"/>
              <w:jc w:val="left"/>
              <w:rPr>
                <w:w w:val="0"/>
              </w:rPr>
            </w:pPr>
            <w:r w:rsidRPr="00227C94">
              <w:rPr>
                <w:w w:val="0"/>
              </w:rPr>
              <w:t>USD’000</w:t>
            </w:r>
          </w:p>
        </w:tc>
        <w:tc>
          <w:tcPr>
            <w:tcW w:w="1417" w:type="dxa"/>
            <w:tcBorders>
              <w:top w:val="single" w:sz="6" w:space="0" w:color="auto"/>
              <w:left w:val="nil"/>
              <w:bottom w:val="single" w:sz="6" w:space="0" w:color="auto"/>
              <w:right w:val="nil"/>
            </w:tcBorders>
            <w:shd w:val="clear" w:color="auto" w:fill="auto"/>
            <w:vAlign w:val="bottom"/>
          </w:tcPr>
          <w:p w:rsidR="005A3237" w:rsidRPr="00227C94" w:rsidRDefault="005A3237" w:rsidP="005A3237">
            <w:pPr>
              <w:pStyle w:val="tblHeaderText"/>
              <w:rPr>
                <w:w w:val="0"/>
              </w:rPr>
            </w:pPr>
            <w:r w:rsidRPr="00227C94">
              <w:rPr>
                <w:w w:val="0"/>
              </w:rPr>
              <w:t>2012</w:t>
            </w:r>
          </w:p>
        </w:tc>
        <w:tc>
          <w:tcPr>
            <w:tcW w:w="113" w:type="dxa"/>
            <w:tcBorders>
              <w:top w:val="single" w:sz="6" w:space="0" w:color="auto"/>
              <w:left w:val="nil"/>
              <w:bottom w:val="nil"/>
              <w:right w:val="nil"/>
            </w:tcBorders>
            <w:shd w:val="clear" w:color="auto" w:fill="auto"/>
          </w:tcPr>
          <w:p w:rsidR="005A3237" w:rsidRPr="00227C94" w:rsidRDefault="005A3237" w:rsidP="005A3237">
            <w:pPr>
              <w:pStyle w:val="tblHeaderText"/>
              <w:rPr>
                <w:w w:val="0"/>
              </w:rPr>
            </w:pPr>
          </w:p>
        </w:tc>
        <w:tc>
          <w:tcPr>
            <w:tcW w:w="1417" w:type="dxa"/>
            <w:tcBorders>
              <w:top w:val="single" w:sz="6" w:space="0" w:color="auto"/>
              <w:left w:val="nil"/>
              <w:bottom w:val="single" w:sz="6" w:space="0" w:color="auto"/>
              <w:right w:val="nil"/>
            </w:tcBorders>
            <w:shd w:val="clear" w:color="auto" w:fill="auto"/>
            <w:vAlign w:val="bottom"/>
          </w:tcPr>
          <w:p w:rsidR="005A3237" w:rsidRPr="00227C94" w:rsidRDefault="005A3237" w:rsidP="005A3237">
            <w:pPr>
              <w:pStyle w:val="tblHeaderText"/>
              <w:rPr>
                <w:w w:val="0"/>
              </w:rPr>
            </w:pPr>
            <w:r w:rsidRPr="00227C94">
              <w:rPr>
                <w:w w:val="0"/>
              </w:rPr>
              <w:t>2011</w:t>
            </w:r>
          </w:p>
        </w:tc>
        <w:tc>
          <w:tcPr>
            <w:tcW w:w="113" w:type="dxa"/>
            <w:tcBorders>
              <w:top w:val="nil"/>
              <w:left w:val="nil"/>
              <w:right w:val="nil"/>
            </w:tcBorders>
          </w:tcPr>
          <w:p w:rsidR="005A3237" w:rsidRPr="00227C94" w:rsidRDefault="005A3237" w:rsidP="005A3237">
            <w:pPr>
              <w:pStyle w:val="tblHeaderText"/>
              <w:rPr>
                <w:w w:val="0"/>
              </w:rPr>
            </w:pPr>
          </w:p>
        </w:tc>
        <w:tc>
          <w:tcPr>
            <w:tcW w:w="1417" w:type="dxa"/>
            <w:tcBorders>
              <w:top w:val="nil"/>
              <w:left w:val="nil"/>
              <w:bottom w:val="single" w:sz="6" w:space="0" w:color="auto"/>
              <w:right w:val="nil"/>
            </w:tcBorders>
            <w:shd w:val="clear" w:color="auto" w:fill="auto"/>
          </w:tcPr>
          <w:p w:rsidR="005A3237" w:rsidRPr="00227C94" w:rsidRDefault="005A3237" w:rsidP="005A3237">
            <w:pPr>
              <w:pStyle w:val="tblHeaderText"/>
              <w:rPr>
                <w:w w:val="0"/>
              </w:rPr>
            </w:pPr>
            <w:r w:rsidRPr="00227C94">
              <w:rPr>
                <w:w w:val="0"/>
              </w:rPr>
              <w:t>p-o-p</w:t>
            </w:r>
          </w:p>
        </w:tc>
        <w:tc>
          <w:tcPr>
            <w:tcW w:w="113" w:type="dxa"/>
            <w:tcBorders>
              <w:top w:val="nil"/>
              <w:left w:val="nil"/>
              <w:right w:val="nil"/>
            </w:tcBorders>
          </w:tcPr>
          <w:p w:rsidR="005A3237" w:rsidRPr="00227C94" w:rsidRDefault="005A3237" w:rsidP="005A3237">
            <w:pPr>
              <w:pStyle w:val="tblHeaderText"/>
              <w:rPr>
                <w:w w:val="0"/>
              </w:rPr>
            </w:pPr>
          </w:p>
        </w:tc>
        <w:tc>
          <w:tcPr>
            <w:tcW w:w="1417" w:type="dxa"/>
            <w:tcBorders>
              <w:top w:val="nil"/>
              <w:left w:val="nil"/>
              <w:bottom w:val="single" w:sz="6" w:space="0" w:color="auto"/>
              <w:right w:val="nil"/>
            </w:tcBorders>
            <w:shd w:val="clear" w:color="auto" w:fill="auto"/>
          </w:tcPr>
          <w:p w:rsidR="005A3237" w:rsidRPr="00227C94" w:rsidRDefault="005A3237" w:rsidP="005A3237">
            <w:pPr>
              <w:pStyle w:val="tblHeaderText"/>
              <w:rPr>
                <w:w w:val="0"/>
              </w:rPr>
            </w:pPr>
            <w:r w:rsidRPr="00227C94">
              <w:rPr>
                <w:w w:val="0"/>
              </w:rPr>
              <w:t>2011</w:t>
            </w:r>
          </w:p>
        </w:tc>
      </w:tr>
      <w:tr w:rsidR="005A3237" w:rsidRPr="00227C94" w:rsidTr="00A701F4">
        <w:trPr>
          <w:cantSplit/>
          <w:trHeight w:hRule="exact" w:val="113"/>
        </w:trPr>
        <w:tc>
          <w:tcPr>
            <w:tcW w:w="2928" w:type="dxa"/>
            <w:tcBorders>
              <w:top w:val="nil"/>
              <w:left w:val="nil"/>
              <w:bottom w:val="nil"/>
              <w:right w:val="nil"/>
            </w:tcBorders>
            <w:vAlign w:val="bottom"/>
          </w:tcPr>
          <w:p w:rsidR="005A3237" w:rsidRPr="00227C94" w:rsidRDefault="005A3237" w:rsidP="005A3237">
            <w:pPr>
              <w:pStyle w:val="tblHeaderText"/>
              <w:jc w:val="left"/>
              <w:rPr>
                <w:w w:val="0"/>
              </w:rPr>
            </w:pPr>
          </w:p>
        </w:tc>
        <w:tc>
          <w:tcPr>
            <w:tcW w:w="1417" w:type="dxa"/>
            <w:tcBorders>
              <w:top w:val="single" w:sz="6" w:space="0" w:color="auto"/>
              <w:left w:val="nil"/>
              <w:bottom w:val="nil"/>
              <w:right w:val="nil"/>
            </w:tcBorders>
            <w:shd w:val="clear" w:color="auto" w:fill="auto"/>
            <w:vAlign w:val="bottom"/>
          </w:tcPr>
          <w:p w:rsidR="005A3237" w:rsidRPr="00227C94" w:rsidRDefault="005A3237" w:rsidP="005A3237">
            <w:pPr>
              <w:pStyle w:val="tblHeaderText"/>
              <w:rPr>
                <w:w w:val="0"/>
              </w:rPr>
            </w:pPr>
          </w:p>
        </w:tc>
        <w:tc>
          <w:tcPr>
            <w:tcW w:w="113" w:type="dxa"/>
            <w:tcBorders>
              <w:top w:val="nil"/>
              <w:left w:val="nil"/>
              <w:bottom w:val="nil"/>
              <w:right w:val="nil"/>
            </w:tcBorders>
          </w:tcPr>
          <w:p w:rsidR="005A3237" w:rsidRPr="00227C94" w:rsidRDefault="005A3237" w:rsidP="005A3237">
            <w:pPr>
              <w:pStyle w:val="tblHeaderText"/>
              <w:rPr>
                <w:w w:val="0"/>
              </w:rPr>
            </w:pPr>
          </w:p>
        </w:tc>
        <w:tc>
          <w:tcPr>
            <w:tcW w:w="1417" w:type="dxa"/>
            <w:tcBorders>
              <w:top w:val="single" w:sz="6" w:space="0" w:color="auto"/>
              <w:left w:val="nil"/>
              <w:bottom w:val="nil"/>
              <w:right w:val="nil"/>
            </w:tcBorders>
            <w:shd w:val="clear" w:color="auto" w:fill="auto"/>
            <w:vAlign w:val="bottom"/>
          </w:tcPr>
          <w:p w:rsidR="005A3237" w:rsidRPr="00227C94" w:rsidRDefault="005A3237" w:rsidP="005A3237">
            <w:pPr>
              <w:pStyle w:val="tblHeaderText"/>
              <w:rPr>
                <w:w w:val="0"/>
              </w:rPr>
            </w:pPr>
          </w:p>
        </w:tc>
        <w:tc>
          <w:tcPr>
            <w:tcW w:w="113" w:type="dxa"/>
            <w:tcBorders>
              <w:left w:val="nil"/>
              <w:bottom w:val="nil"/>
              <w:right w:val="nil"/>
            </w:tcBorders>
            <w:shd w:val="clear" w:color="auto" w:fill="auto"/>
          </w:tcPr>
          <w:p w:rsidR="005A3237" w:rsidRPr="00227C94" w:rsidRDefault="005A3237" w:rsidP="005A3237">
            <w:pPr>
              <w:pStyle w:val="tblHeaderText"/>
              <w:rPr>
                <w:w w:val="0"/>
              </w:rPr>
            </w:pPr>
          </w:p>
        </w:tc>
        <w:tc>
          <w:tcPr>
            <w:tcW w:w="1417" w:type="dxa"/>
            <w:tcBorders>
              <w:top w:val="single" w:sz="6" w:space="0" w:color="auto"/>
              <w:left w:val="nil"/>
              <w:bottom w:val="nil"/>
              <w:right w:val="nil"/>
            </w:tcBorders>
            <w:shd w:val="clear" w:color="auto" w:fill="auto"/>
          </w:tcPr>
          <w:p w:rsidR="005A3237" w:rsidRPr="00227C94" w:rsidRDefault="005A3237" w:rsidP="005A3237">
            <w:pPr>
              <w:pStyle w:val="tblHeaderText"/>
              <w:rPr>
                <w:w w:val="0"/>
              </w:rPr>
            </w:pPr>
          </w:p>
        </w:tc>
        <w:tc>
          <w:tcPr>
            <w:tcW w:w="113" w:type="dxa"/>
            <w:tcBorders>
              <w:left w:val="nil"/>
              <w:bottom w:val="nil"/>
              <w:right w:val="nil"/>
            </w:tcBorders>
            <w:shd w:val="clear" w:color="auto" w:fill="auto"/>
          </w:tcPr>
          <w:p w:rsidR="005A3237" w:rsidRPr="00227C94" w:rsidRDefault="005A3237" w:rsidP="005A3237">
            <w:pPr>
              <w:pStyle w:val="tblHeaderText"/>
              <w:rPr>
                <w:w w:val="0"/>
              </w:rPr>
            </w:pPr>
          </w:p>
        </w:tc>
        <w:tc>
          <w:tcPr>
            <w:tcW w:w="1417" w:type="dxa"/>
            <w:tcBorders>
              <w:top w:val="single" w:sz="6" w:space="0" w:color="auto"/>
              <w:left w:val="nil"/>
              <w:bottom w:val="nil"/>
              <w:right w:val="nil"/>
            </w:tcBorders>
            <w:shd w:val="clear" w:color="auto" w:fill="auto"/>
          </w:tcPr>
          <w:p w:rsidR="005A3237" w:rsidRPr="00227C94" w:rsidRDefault="005A3237" w:rsidP="005A3237">
            <w:pPr>
              <w:pStyle w:val="tblHeaderText"/>
              <w:rPr>
                <w:w w:val="0"/>
              </w:rPr>
            </w:pPr>
          </w:p>
        </w:tc>
      </w:tr>
      <w:tr w:rsidR="005A3237" w:rsidRPr="00227C94" w:rsidTr="00A701F4">
        <w:trPr>
          <w:cantSplit/>
        </w:trPr>
        <w:tc>
          <w:tcPr>
            <w:tcW w:w="2928" w:type="dxa"/>
            <w:tcBorders>
              <w:top w:val="nil"/>
              <w:left w:val="nil"/>
              <w:bottom w:val="nil"/>
              <w:right w:val="nil"/>
            </w:tcBorders>
            <w:vAlign w:val="center"/>
          </w:tcPr>
          <w:p w:rsidR="005A3237" w:rsidRPr="00227C94" w:rsidRDefault="005A3237" w:rsidP="005A3237">
            <w:pPr>
              <w:pStyle w:val="tblText02"/>
            </w:pPr>
            <w:r w:rsidRPr="00227C94">
              <w:t xml:space="preserve">Capital expenditures </w:t>
            </w:r>
            <w:r w:rsidRPr="00227C94">
              <w:rPr>
                <w:lang w:val="en-US"/>
              </w:rPr>
              <w:br/>
            </w:r>
            <w:r w:rsidRPr="00227C94">
              <w:t>(management accounts)</w:t>
            </w:r>
          </w:p>
        </w:tc>
        <w:tc>
          <w:tcPr>
            <w:tcW w:w="1417" w:type="dxa"/>
            <w:tcBorders>
              <w:top w:val="nil"/>
              <w:left w:val="nil"/>
              <w:right w:val="nil"/>
            </w:tcBorders>
            <w:vAlign w:val="bottom"/>
          </w:tcPr>
          <w:p w:rsidR="005A3237" w:rsidRPr="00227C94" w:rsidRDefault="005A3237" w:rsidP="005A3237">
            <w:pPr>
              <w:pStyle w:val="tblNumber01"/>
            </w:pPr>
            <w:r w:rsidRPr="00227C94">
              <w:t>297,130</w:t>
            </w:r>
          </w:p>
        </w:tc>
        <w:tc>
          <w:tcPr>
            <w:tcW w:w="11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right w:val="nil"/>
            </w:tcBorders>
            <w:vAlign w:val="bottom"/>
          </w:tcPr>
          <w:p w:rsidR="005A3237" w:rsidRPr="00227C94" w:rsidRDefault="005A3237" w:rsidP="005A3237">
            <w:pPr>
              <w:pStyle w:val="tblNumber01"/>
            </w:pPr>
            <w:r w:rsidRPr="00227C94">
              <w:t>183,148</w:t>
            </w:r>
          </w:p>
        </w:tc>
        <w:tc>
          <w:tcPr>
            <w:tcW w:w="11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right w:val="nil"/>
            </w:tcBorders>
            <w:vAlign w:val="bottom"/>
          </w:tcPr>
          <w:p w:rsidR="005A3237" w:rsidRPr="00227C94" w:rsidRDefault="005A3237" w:rsidP="005A3237">
            <w:pPr>
              <w:pStyle w:val="tblNumber01"/>
            </w:pPr>
            <w:r w:rsidRPr="00227C94">
              <w:t>62</w:t>
            </w:r>
          </w:p>
        </w:tc>
        <w:tc>
          <w:tcPr>
            <w:tcW w:w="11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right w:val="nil"/>
            </w:tcBorders>
            <w:vAlign w:val="bottom"/>
          </w:tcPr>
          <w:p w:rsidR="005A3237" w:rsidRPr="00227C94" w:rsidRDefault="005A3237" w:rsidP="005A3237">
            <w:pPr>
              <w:pStyle w:val="tblNumber01"/>
            </w:pPr>
            <w:r w:rsidRPr="00227C94">
              <w:t>455,730</w:t>
            </w:r>
          </w:p>
        </w:tc>
      </w:tr>
      <w:tr w:rsidR="005A3237" w:rsidRPr="00227C94" w:rsidTr="00A701F4">
        <w:trPr>
          <w:cantSplit/>
        </w:trPr>
        <w:tc>
          <w:tcPr>
            <w:tcW w:w="2928" w:type="dxa"/>
            <w:tcBorders>
              <w:top w:val="nil"/>
              <w:left w:val="nil"/>
              <w:bottom w:val="nil"/>
              <w:right w:val="nil"/>
            </w:tcBorders>
            <w:vAlign w:val="center"/>
          </w:tcPr>
          <w:p w:rsidR="005A3237" w:rsidRPr="00227C94" w:rsidRDefault="005A3237" w:rsidP="005A3237">
            <w:pPr>
              <w:pStyle w:val="tblText02"/>
              <w:rPr>
                <w:lang w:val="en-US"/>
              </w:rPr>
            </w:pPr>
            <w:r w:rsidRPr="00227C94">
              <w:rPr>
                <w:lang w:val="en-US"/>
              </w:rPr>
              <w:t>Differences between IFRS and management accounts</w:t>
            </w:r>
          </w:p>
        </w:tc>
        <w:tc>
          <w:tcPr>
            <w:tcW w:w="1417" w:type="dxa"/>
            <w:tcBorders>
              <w:top w:val="nil"/>
              <w:left w:val="nil"/>
              <w:bottom w:val="single" w:sz="6" w:space="0" w:color="auto"/>
              <w:right w:val="nil"/>
            </w:tcBorders>
            <w:shd w:val="clear" w:color="auto" w:fill="auto"/>
            <w:vAlign w:val="bottom"/>
          </w:tcPr>
          <w:p w:rsidR="005A3237" w:rsidRPr="00227C94" w:rsidRDefault="005A3237" w:rsidP="005A3237">
            <w:pPr>
              <w:pStyle w:val="tblNumber01"/>
            </w:pPr>
            <w:r w:rsidRPr="00227C94">
              <w:t>33,112</w:t>
            </w:r>
          </w:p>
        </w:tc>
        <w:tc>
          <w:tcPr>
            <w:tcW w:w="11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bottom w:val="single" w:sz="6" w:space="0" w:color="auto"/>
              <w:right w:val="nil"/>
            </w:tcBorders>
            <w:shd w:val="clear" w:color="auto" w:fill="auto"/>
            <w:vAlign w:val="bottom"/>
          </w:tcPr>
          <w:p w:rsidR="005A3237" w:rsidRPr="00227C94" w:rsidRDefault="005A3237" w:rsidP="005A3237">
            <w:pPr>
              <w:pStyle w:val="tblNumber00"/>
            </w:pPr>
            <w:r w:rsidRPr="00227C94">
              <w:t>(2,018)</w:t>
            </w:r>
          </w:p>
        </w:tc>
        <w:tc>
          <w:tcPr>
            <w:tcW w:w="11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bottom w:val="single" w:sz="6" w:space="0" w:color="auto"/>
              <w:right w:val="nil"/>
            </w:tcBorders>
            <w:shd w:val="clear" w:color="auto" w:fill="auto"/>
            <w:vAlign w:val="bottom"/>
          </w:tcPr>
          <w:p w:rsidR="005A3237" w:rsidRPr="00227C94" w:rsidRDefault="005A3237" w:rsidP="005A3237">
            <w:pPr>
              <w:pStyle w:val="tblNumberDash"/>
            </w:pPr>
            <w:r w:rsidRPr="00227C94">
              <w:t>-</w:t>
            </w:r>
          </w:p>
        </w:tc>
        <w:tc>
          <w:tcPr>
            <w:tcW w:w="11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bottom w:val="single" w:sz="6" w:space="0" w:color="auto"/>
              <w:right w:val="nil"/>
            </w:tcBorders>
            <w:shd w:val="clear" w:color="auto" w:fill="auto"/>
            <w:vAlign w:val="bottom"/>
          </w:tcPr>
          <w:p w:rsidR="005A3237" w:rsidRPr="00227C94" w:rsidRDefault="005A3237" w:rsidP="005A3237">
            <w:pPr>
              <w:pStyle w:val="tblNumber00"/>
            </w:pPr>
            <w:r w:rsidRPr="00227C94">
              <w:t>(127,887)</w:t>
            </w:r>
          </w:p>
        </w:tc>
      </w:tr>
      <w:tr w:rsidR="005A3237" w:rsidRPr="00227C94" w:rsidTr="00A701F4">
        <w:trPr>
          <w:cantSplit/>
          <w:trHeight w:hRule="exact" w:val="113"/>
        </w:trPr>
        <w:tc>
          <w:tcPr>
            <w:tcW w:w="2928" w:type="dxa"/>
            <w:tcBorders>
              <w:top w:val="nil"/>
              <w:left w:val="nil"/>
              <w:bottom w:val="nil"/>
              <w:right w:val="nil"/>
            </w:tcBorders>
            <w:vAlign w:val="center"/>
          </w:tcPr>
          <w:p w:rsidR="005A3237" w:rsidRPr="00227C94" w:rsidRDefault="005A3237" w:rsidP="005A3237">
            <w:pPr>
              <w:pStyle w:val="tblText02"/>
            </w:pPr>
          </w:p>
        </w:tc>
        <w:tc>
          <w:tcPr>
            <w:tcW w:w="1417" w:type="dxa"/>
            <w:tcBorders>
              <w:top w:val="single" w:sz="6" w:space="0" w:color="auto"/>
              <w:left w:val="nil"/>
              <w:right w:val="nil"/>
            </w:tcBorders>
            <w:shd w:val="clear" w:color="auto" w:fill="auto"/>
            <w:vAlign w:val="bottom"/>
          </w:tcPr>
          <w:p w:rsidR="005A3237" w:rsidRPr="00227C94" w:rsidRDefault="005A3237" w:rsidP="005A3237">
            <w:pPr>
              <w:pStyle w:val="tblNumber01"/>
            </w:pPr>
          </w:p>
        </w:tc>
        <w:tc>
          <w:tcPr>
            <w:tcW w:w="11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single" w:sz="6" w:space="0" w:color="auto"/>
              <w:left w:val="nil"/>
              <w:right w:val="nil"/>
            </w:tcBorders>
            <w:shd w:val="clear" w:color="auto" w:fill="auto"/>
            <w:vAlign w:val="bottom"/>
          </w:tcPr>
          <w:p w:rsidR="005A3237" w:rsidRPr="00227C94" w:rsidRDefault="005A3237" w:rsidP="005A3237">
            <w:pPr>
              <w:pStyle w:val="tblNumber00"/>
            </w:pPr>
          </w:p>
        </w:tc>
        <w:tc>
          <w:tcPr>
            <w:tcW w:w="11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single" w:sz="6" w:space="0" w:color="auto"/>
              <w:left w:val="nil"/>
              <w:right w:val="nil"/>
            </w:tcBorders>
            <w:shd w:val="clear" w:color="auto" w:fill="auto"/>
            <w:vAlign w:val="bottom"/>
          </w:tcPr>
          <w:p w:rsidR="005A3237" w:rsidRPr="00227C94" w:rsidRDefault="005A3237" w:rsidP="005A3237">
            <w:pPr>
              <w:pStyle w:val="tblNumberDash"/>
            </w:pPr>
          </w:p>
        </w:tc>
        <w:tc>
          <w:tcPr>
            <w:tcW w:w="11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single" w:sz="6" w:space="0" w:color="auto"/>
              <w:left w:val="nil"/>
              <w:right w:val="nil"/>
            </w:tcBorders>
            <w:shd w:val="clear" w:color="auto" w:fill="auto"/>
            <w:vAlign w:val="bottom"/>
          </w:tcPr>
          <w:p w:rsidR="005A3237" w:rsidRPr="00227C94" w:rsidRDefault="005A3237" w:rsidP="005A3237">
            <w:pPr>
              <w:pStyle w:val="tblNumber00"/>
            </w:pPr>
          </w:p>
        </w:tc>
      </w:tr>
      <w:tr w:rsidR="005A3237" w:rsidRPr="00227C94" w:rsidTr="005A3237">
        <w:trPr>
          <w:cantSplit/>
        </w:trPr>
        <w:tc>
          <w:tcPr>
            <w:tcW w:w="2928" w:type="dxa"/>
            <w:tcBorders>
              <w:top w:val="nil"/>
              <w:left w:val="nil"/>
              <w:bottom w:val="nil"/>
              <w:right w:val="nil"/>
            </w:tcBorders>
            <w:vAlign w:val="center"/>
          </w:tcPr>
          <w:p w:rsidR="005A3237" w:rsidRPr="00227C94" w:rsidRDefault="005A3237" w:rsidP="005A3237">
            <w:pPr>
              <w:pStyle w:val="tblText02"/>
              <w:rPr>
                <w:b/>
              </w:rPr>
            </w:pPr>
            <w:r w:rsidRPr="00227C94">
              <w:rPr>
                <w:b/>
              </w:rPr>
              <w:t>Capital expenditures</w:t>
            </w:r>
          </w:p>
        </w:tc>
        <w:tc>
          <w:tcPr>
            <w:tcW w:w="1417" w:type="dxa"/>
            <w:tcBorders>
              <w:top w:val="nil"/>
              <w:left w:val="nil"/>
              <w:bottom w:val="double" w:sz="6" w:space="0" w:color="auto"/>
              <w:right w:val="nil"/>
            </w:tcBorders>
            <w:shd w:val="clear" w:color="auto" w:fill="auto"/>
            <w:vAlign w:val="bottom"/>
          </w:tcPr>
          <w:p w:rsidR="005A3237" w:rsidRPr="00227C94" w:rsidRDefault="005A3237" w:rsidP="005A3237">
            <w:pPr>
              <w:pStyle w:val="tblNumber01"/>
              <w:rPr>
                <w:b/>
              </w:rPr>
            </w:pPr>
            <w:r w:rsidRPr="00227C94">
              <w:rPr>
                <w:b/>
              </w:rPr>
              <w:t>330,242</w:t>
            </w:r>
          </w:p>
        </w:tc>
        <w:tc>
          <w:tcPr>
            <w:tcW w:w="11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bottom w:val="double" w:sz="6" w:space="0" w:color="auto"/>
              <w:right w:val="nil"/>
            </w:tcBorders>
            <w:shd w:val="clear" w:color="auto" w:fill="auto"/>
            <w:vAlign w:val="bottom"/>
          </w:tcPr>
          <w:p w:rsidR="005A3237" w:rsidRPr="00227C94" w:rsidRDefault="005A3237" w:rsidP="005A3237">
            <w:pPr>
              <w:pStyle w:val="tblNumber01"/>
              <w:rPr>
                <w:b/>
              </w:rPr>
            </w:pPr>
            <w:r w:rsidRPr="00227C94">
              <w:rPr>
                <w:b/>
              </w:rPr>
              <w:t>181,130</w:t>
            </w:r>
          </w:p>
        </w:tc>
        <w:tc>
          <w:tcPr>
            <w:tcW w:w="11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bottom w:val="double" w:sz="6" w:space="0" w:color="auto"/>
              <w:right w:val="nil"/>
            </w:tcBorders>
            <w:shd w:val="clear" w:color="auto" w:fill="auto"/>
            <w:vAlign w:val="bottom"/>
          </w:tcPr>
          <w:p w:rsidR="005A3237" w:rsidRPr="00227C94" w:rsidRDefault="005A3237" w:rsidP="005A3237">
            <w:pPr>
              <w:pStyle w:val="tblNumber01"/>
              <w:rPr>
                <w:b/>
              </w:rPr>
            </w:pPr>
            <w:r w:rsidRPr="00227C94">
              <w:rPr>
                <w:b/>
              </w:rPr>
              <w:t>82</w:t>
            </w:r>
          </w:p>
        </w:tc>
        <w:tc>
          <w:tcPr>
            <w:tcW w:w="11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bottom w:val="double" w:sz="6" w:space="0" w:color="auto"/>
              <w:right w:val="nil"/>
            </w:tcBorders>
            <w:shd w:val="clear" w:color="auto" w:fill="auto"/>
            <w:vAlign w:val="bottom"/>
          </w:tcPr>
          <w:p w:rsidR="005A3237" w:rsidRPr="00227C94" w:rsidRDefault="005A3237" w:rsidP="005A3237">
            <w:pPr>
              <w:pStyle w:val="tblNumber01"/>
              <w:rPr>
                <w:b/>
              </w:rPr>
            </w:pPr>
            <w:r w:rsidRPr="00227C94">
              <w:rPr>
                <w:b/>
              </w:rPr>
              <w:t>327,843</w:t>
            </w:r>
          </w:p>
        </w:tc>
      </w:tr>
    </w:tbl>
    <w:p w:rsidR="00916675" w:rsidRPr="00227C94" w:rsidRDefault="00916675" w:rsidP="005A3237">
      <w:pPr>
        <w:pStyle w:val="23"/>
        <w:spacing w:line="180" w:lineRule="exact"/>
        <w:rPr>
          <w:color w:val="auto"/>
          <w:w w:val="0"/>
          <w:lang w:val="en-US"/>
        </w:rPr>
      </w:pPr>
    </w:p>
    <w:p w:rsidR="005A3237" w:rsidRPr="00227C94" w:rsidRDefault="005A3237" w:rsidP="005A3237">
      <w:pPr>
        <w:pStyle w:val="23"/>
        <w:spacing w:line="180" w:lineRule="exact"/>
        <w:rPr>
          <w:color w:val="auto"/>
          <w:w w:val="0"/>
          <w:lang w:val="en-US"/>
        </w:rPr>
      </w:pPr>
    </w:p>
    <w:p w:rsidR="00916675" w:rsidRPr="00227C94" w:rsidRDefault="00916675" w:rsidP="005A3237">
      <w:pPr>
        <w:pStyle w:val="23"/>
        <w:rPr>
          <w:color w:val="auto"/>
          <w:w w:val="0"/>
          <w:lang w:val="en-US"/>
        </w:rPr>
      </w:pPr>
      <w:bookmarkStart w:id="388" w:name="_DV_M394"/>
      <w:bookmarkEnd w:id="388"/>
      <w:r w:rsidRPr="00227C94">
        <w:rPr>
          <w:color w:val="auto"/>
          <w:w w:val="0"/>
          <w:lang w:val="en-US"/>
        </w:rPr>
        <w:t>In the first six months of 2012, the Group’s capital expenditures amounted to USD330</w:t>
      </w:r>
      <w:proofErr w:type="gramStart"/>
      <w:r w:rsidRPr="00227C94">
        <w:rPr>
          <w:color w:val="auto"/>
          <w:w w:val="0"/>
          <w:lang w:val="en-US"/>
        </w:rPr>
        <w:t>,242</w:t>
      </w:r>
      <w:proofErr w:type="gramEnd"/>
      <w:r w:rsidRPr="00227C94">
        <w:rPr>
          <w:color w:val="auto"/>
          <w:w w:val="0"/>
          <w:lang w:val="en-US"/>
        </w:rPr>
        <w:t xml:space="preserve"> thousand, an increase of 82% as compared with the first six months of 2011.</w:t>
      </w:r>
    </w:p>
    <w:p w:rsidR="005A3237" w:rsidRPr="00227C94" w:rsidRDefault="005A3237" w:rsidP="005A3237">
      <w:pPr>
        <w:pStyle w:val="23"/>
        <w:spacing w:line="180" w:lineRule="exact"/>
        <w:rPr>
          <w:color w:val="auto"/>
          <w:w w:val="0"/>
          <w:lang w:val="en-US"/>
        </w:rPr>
      </w:pPr>
    </w:p>
    <w:p w:rsidR="00916675" w:rsidRPr="00227C94" w:rsidRDefault="00916675" w:rsidP="005A3237">
      <w:pPr>
        <w:pStyle w:val="23"/>
        <w:rPr>
          <w:color w:val="auto"/>
          <w:w w:val="0"/>
          <w:lang w:val="en-US"/>
        </w:rPr>
      </w:pPr>
      <w:bookmarkStart w:id="389" w:name="_DV_M395"/>
      <w:bookmarkEnd w:id="389"/>
      <w:r w:rsidRPr="00227C94">
        <w:rPr>
          <w:color w:val="auto"/>
          <w:w w:val="0"/>
          <w:lang w:val="en-US"/>
        </w:rPr>
        <w:t>The major part of funds was invested into the construction of the Verninskoye and Natalka mine.</w:t>
      </w:r>
    </w:p>
    <w:p w:rsidR="00916675" w:rsidRPr="00227C94" w:rsidRDefault="00916675" w:rsidP="005A3237">
      <w:pPr>
        <w:pStyle w:val="23"/>
        <w:spacing w:line="180" w:lineRule="exact"/>
        <w:rPr>
          <w:color w:val="auto"/>
          <w:w w:val="0"/>
          <w:lang w:val="en-US"/>
        </w:rPr>
      </w:pPr>
    </w:p>
    <w:p w:rsidR="00916675" w:rsidRPr="00227C94" w:rsidRDefault="00916675" w:rsidP="005A3237">
      <w:pPr>
        <w:pStyle w:val="22"/>
        <w:rPr>
          <w:w w:val="0"/>
          <w:lang w:val="en-US"/>
        </w:rPr>
      </w:pPr>
      <w:bookmarkStart w:id="390" w:name="_Toc304205613"/>
      <w:r w:rsidRPr="00227C94">
        <w:rPr>
          <w:w w:val="0"/>
        </w:rPr>
        <w:t>4.4 Net debt</w:t>
      </w:r>
      <w:bookmarkEnd w:id="390"/>
    </w:p>
    <w:p w:rsidR="005A3237" w:rsidRPr="00227C94" w:rsidRDefault="005A3237" w:rsidP="005A3237">
      <w:pPr>
        <w:pStyle w:val="23"/>
        <w:spacing w:line="180" w:lineRule="exact"/>
        <w:rPr>
          <w:color w:val="auto"/>
          <w:lang w:val="en-US"/>
        </w:rPr>
      </w:pPr>
    </w:p>
    <w:p w:rsidR="00916675" w:rsidRPr="00227C94" w:rsidRDefault="00916675" w:rsidP="005A3237">
      <w:pPr>
        <w:pStyle w:val="23"/>
        <w:rPr>
          <w:color w:val="auto"/>
          <w:lang w:val="en-US"/>
        </w:rPr>
      </w:pPr>
      <w:r w:rsidRPr="00227C94">
        <w:rPr>
          <w:color w:val="auto"/>
          <w:lang w:val="en-US"/>
        </w:rPr>
        <w:t xml:space="preserve">Net debt is defined as short-term and long-term debt less cash and cash equivalentsand short-term </w:t>
      </w:r>
      <w:r w:rsidRPr="00227C94">
        <w:rPr>
          <w:color w:val="auto"/>
          <w:spacing w:val="-2"/>
          <w:lang w:val="en-US"/>
        </w:rPr>
        <w:t xml:space="preserve">bank deposits. Short-term bank deposits with original maturity of more than 3 months can be withdrawn </w:t>
      </w:r>
      <w:r w:rsidRPr="00227C94">
        <w:rPr>
          <w:color w:val="auto"/>
          <w:lang w:val="en-US"/>
        </w:rPr>
        <w:t>on demand and therefore have the same liquidity as cash and cash equivalents. Net debt should not be considered as an alternative to current and non-current loans and borrowings based on IFRS and should not necessarily be construed as a comprehensive indicator of the Group’s measure of profitability or liquidity.</w:t>
      </w:r>
    </w:p>
    <w:p w:rsidR="005A3237" w:rsidRPr="00227C94" w:rsidRDefault="005A3237" w:rsidP="005A3237">
      <w:pPr>
        <w:pStyle w:val="23"/>
        <w:spacing w:line="180" w:lineRule="exact"/>
        <w:rPr>
          <w:color w:val="auto"/>
          <w:lang w:val="en-US"/>
        </w:rPr>
      </w:pPr>
    </w:p>
    <w:p w:rsidR="00916675" w:rsidRPr="00227C94" w:rsidRDefault="00916675" w:rsidP="005A3237">
      <w:pPr>
        <w:pStyle w:val="23"/>
        <w:rPr>
          <w:color w:val="auto"/>
          <w:lang w:val="en-US"/>
        </w:rPr>
      </w:pPr>
      <w:r w:rsidRPr="00227C94">
        <w:rPr>
          <w:color w:val="auto"/>
          <w:lang w:val="en-US"/>
        </w:rPr>
        <w:t>The following table sets forth the Group’s net debt as at 30 June 2012 and 31 December 2011:</w:t>
      </w:r>
    </w:p>
    <w:p w:rsidR="00916675" w:rsidRPr="00227C94" w:rsidRDefault="00916675" w:rsidP="005A3237">
      <w:pPr>
        <w:pStyle w:val="23"/>
        <w:spacing w:line="180" w:lineRule="exact"/>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5A3237" w:rsidRPr="00227C94" w:rsidTr="00A701F4">
        <w:trPr>
          <w:cantSplit/>
        </w:trPr>
        <w:tc>
          <w:tcPr>
            <w:tcW w:w="4118" w:type="dxa"/>
            <w:tcBorders>
              <w:top w:val="nil"/>
              <w:left w:val="nil"/>
              <w:bottom w:val="nil"/>
              <w:right w:val="nil"/>
            </w:tcBorders>
            <w:vAlign w:val="bottom"/>
          </w:tcPr>
          <w:p w:rsidR="005A3237" w:rsidRPr="00227C94" w:rsidRDefault="005A3237" w:rsidP="005A3237">
            <w:pPr>
              <w:pStyle w:val="tblHeaderText"/>
              <w:jc w:val="left"/>
            </w:pPr>
            <w:r w:rsidRPr="00227C94">
              <w:t>USD’000</w:t>
            </w:r>
          </w:p>
        </w:tc>
        <w:tc>
          <w:tcPr>
            <w:tcW w:w="1417" w:type="dxa"/>
            <w:tcBorders>
              <w:top w:val="nil"/>
              <w:left w:val="nil"/>
              <w:bottom w:val="single" w:sz="6" w:space="0" w:color="auto"/>
              <w:right w:val="nil"/>
            </w:tcBorders>
            <w:shd w:val="clear" w:color="auto" w:fill="auto"/>
            <w:vAlign w:val="bottom"/>
          </w:tcPr>
          <w:p w:rsidR="005A3237" w:rsidRPr="00227C94" w:rsidRDefault="005A3237" w:rsidP="00B71A14">
            <w:pPr>
              <w:pStyle w:val="tblHeaderText"/>
            </w:pPr>
            <w:r w:rsidRPr="00227C94">
              <w:t>30 June 2012</w:t>
            </w:r>
          </w:p>
        </w:tc>
        <w:tc>
          <w:tcPr>
            <w:tcW w:w="283" w:type="dxa"/>
            <w:tcBorders>
              <w:top w:val="nil"/>
              <w:left w:val="nil"/>
              <w:bottom w:val="nil"/>
              <w:right w:val="nil"/>
            </w:tcBorders>
            <w:vAlign w:val="bottom"/>
          </w:tcPr>
          <w:p w:rsidR="005A3237" w:rsidRPr="00227C94" w:rsidRDefault="005A3237" w:rsidP="005A3237">
            <w:pPr>
              <w:pStyle w:val="tblHeaderText"/>
            </w:pPr>
          </w:p>
        </w:tc>
        <w:tc>
          <w:tcPr>
            <w:tcW w:w="1417" w:type="dxa"/>
            <w:tcBorders>
              <w:top w:val="nil"/>
              <w:left w:val="nil"/>
              <w:bottom w:val="single" w:sz="6" w:space="0" w:color="auto"/>
              <w:right w:val="nil"/>
            </w:tcBorders>
            <w:shd w:val="clear" w:color="auto" w:fill="auto"/>
            <w:vAlign w:val="bottom"/>
          </w:tcPr>
          <w:p w:rsidR="005A3237" w:rsidRPr="00227C94" w:rsidRDefault="005A3237" w:rsidP="005A3237">
            <w:pPr>
              <w:pStyle w:val="tblHeaderText"/>
            </w:pPr>
            <w:r w:rsidRPr="00227C94">
              <w:t>31 December 2011</w:t>
            </w:r>
          </w:p>
        </w:tc>
        <w:tc>
          <w:tcPr>
            <w:tcW w:w="283" w:type="dxa"/>
            <w:tcBorders>
              <w:top w:val="nil"/>
              <w:left w:val="nil"/>
              <w:bottom w:val="nil"/>
              <w:right w:val="nil"/>
            </w:tcBorders>
            <w:vAlign w:val="bottom"/>
          </w:tcPr>
          <w:p w:rsidR="005A3237" w:rsidRPr="00227C94" w:rsidRDefault="005A3237" w:rsidP="005A3237">
            <w:pPr>
              <w:pStyle w:val="tblHeaderText"/>
            </w:pPr>
          </w:p>
        </w:tc>
        <w:tc>
          <w:tcPr>
            <w:tcW w:w="1417" w:type="dxa"/>
            <w:tcBorders>
              <w:top w:val="nil"/>
              <w:left w:val="nil"/>
              <w:bottom w:val="single" w:sz="6" w:space="0" w:color="auto"/>
              <w:right w:val="nil"/>
            </w:tcBorders>
            <w:shd w:val="clear" w:color="auto" w:fill="auto"/>
            <w:vAlign w:val="bottom"/>
          </w:tcPr>
          <w:p w:rsidR="007B330D" w:rsidRPr="00227C94" w:rsidRDefault="005A3237" w:rsidP="005A3237">
            <w:pPr>
              <w:pStyle w:val="tblHeaderText"/>
              <w:rPr>
                <w:lang w:val="en-US"/>
              </w:rPr>
            </w:pPr>
            <w:r w:rsidRPr="00227C94">
              <w:t xml:space="preserve">% </w:t>
            </w:r>
          </w:p>
          <w:p w:rsidR="005A3237" w:rsidRPr="00227C94" w:rsidRDefault="005A3237" w:rsidP="00B71A14">
            <w:pPr>
              <w:pStyle w:val="tblHeaderText"/>
              <w:rPr>
                <w:lang w:val="en-US"/>
              </w:rPr>
            </w:pPr>
            <w:r w:rsidRPr="00227C94">
              <w:t>change</w:t>
            </w:r>
          </w:p>
        </w:tc>
      </w:tr>
      <w:tr w:rsidR="005A3237" w:rsidRPr="00227C94" w:rsidTr="00A701F4">
        <w:trPr>
          <w:cantSplit/>
          <w:trHeight w:hRule="exact" w:val="113"/>
        </w:trPr>
        <w:tc>
          <w:tcPr>
            <w:tcW w:w="4118" w:type="dxa"/>
            <w:tcBorders>
              <w:top w:val="nil"/>
              <w:left w:val="nil"/>
              <w:bottom w:val="nil"/>
              <w:right w:val="nil"/>
            </w:tcBorders>
          </w:tcPr>
          <w:p w:rsidR="005A3237" w:rsidRPr="00227C94" w:rsidRDefault="005A3237" w:rsidP="005A3237">
            <w:pPr>
              <w:pStyle w:val="tblHeaderText"/>
              <w:jc w:val="left"/>
            </w:pPr>
          </w:p>
        </w:tc>
        <w:tc>
          <w:tcPr>
            <w:tcW w:w="1417" w:type="dxa"/>
            <w:tcBorders>
              <w:top w:val="single" w:sz="6" w:space="0" w:color="auto"/>
              <w:left w:val="nil"/>
              <w:bottom w:val="nil"/>
              <w:right w:val="nil"/>
            </w:tcBorders>
            <w:shd w:val="clear" w:color="auto" w:fill="auto"/>
          </w:tcPr>
          <w:p w:rsidR="005A3237" w:rsidRPr="00227C94" w:rsidRDefault="005A3237" w:rsidP="005A3237">
            <w:pPr>
              <w:pStyle w:val="tblHeaderText"/>
            </w:pPr>
          </w:p>
        </w:tc>
        <w:tc>
          <w:tcPr>
            <w:tcW w:w="283" w:type="dxa"/>
            <w:tcBorders>
              <w:top w:val="nil"/>
              <w:left w:val="nil"/>
              <w:bottom w:val="nil"/>
              <w:right w:val="nil"/>
            </w:tcBorders>
          </w:tcPr>
          <w:p w:rsidR="005A3237" w:rsidRPr="00227C94" w:rsidRDefault="005A3237" w:rsidP="005A3237">
            <w:pPr>
              <w:pStyle w:val="tblHeaderText"/>
            </w:pPr>
          </w:p>
        </w:tc>
        <w:tc>
          <w:tcPr>
            <w:tcW w:w="1417" w:type="dxa"/>
            <w:tcBorders>
              <w:top w:val="single" w:sz="6" w:space="0" w:color="auto"/>
              <w:left w:val="nil"/>
              <w:bottom w:val="nil"/>
              <w:right w:val="nil"/>
            </w:tcBorders>
            <w:shd w:val="clear" w:color="auto" w:fill="auto"/>
          </w:tcPr>
          <w:p w:rsidR="005A3237" w:rsidRPr="00227C94" w:rsidRDefault="005A3237" w:rsidP="005A3237">
            <w:pPr>
              <w:pStyle w:val="tblHeaderText"/>
            </w:pPr>
          </w:p>
        </w:tc>
        <w:tc>
          <w:tcPr>
            <w:tcW w:w="283" w:type="dxa"/>
            <w:tcBorders>
              <w:top w:val="nil"/>
              <w:left w:val="nil"/>
              <w:bottom w:val="nil"/>
              <w:right w:val="nil"/>
            </w:tcBorders>
          </w:tcPr>
          <w:p w:rsidR="005A3237" w:rsidRPr="00227C94" w:rsidRDefault="005A3237" w:rsidP="005A3237">
            <w:pPr>
              <w:pStyle w:val="tblHeaderText"/>
            </w:pPr>
          </w:p>
        </w:tc>
        <w:tc>
          <w:tcPr>
            <w:tcW w:w="1417" w:type="dxa"/>
            <w:tcBorders>
              <w:top w:val="single" w:sz="6" w:space="0" w:color="auto"/>
              <w:left w:val="nil"/>
              <w:bottom w:val="nil"/>
              <w:right w:val="nil"/>
            </w:tcBorders>
            <w:shd w:val="clear" w:color="auto" w:fill="auto"/>
          </w:tcPr>
          <w:p w:rsidR="005A3237" w:rsidRPr="00227C94" w:rsidRDefault="005A3237" w:rsidP="005A3237">
            <w:pPr>
              <w:pStyle w:val="tblHeaderText"/>
            </w:pPr>
          </w:p>
        </w:tc>
      </w:tr>
      <w:tr w:rsidR="005A3237" w:rsidRPr="00227C94" w:rsidTr="005A3237">
        <w:trPr>
          <w:cantSplit/>
        </w:trPr>
        <w:tc>
          <w:tcPr>
            <w:tcW w:w="4118" w:type="dxa"/>
            <w:tcBorders>
              <w:top w:val="nil"/>
              <w:left w:val="nil"/>
              <w:bottom w:val="nil"/>
              <w:right w:val="nil"/>
            </w:tcBorders>
          </w:tcPr>
          <w:p w:rsidR="005A3237" w:rsidRPr="00227C94" w:rsidRDefault="005A3237" w:rsidP="005A3237">
            <w:pPr>
              <w:pStyle w:val="tblText02"/>
            </w:pPr>
            <w:r w:rsidRPr="00227C94">
              <w:t>Non-current borrowings</w:t>
            </w:r>
          </w:p>
        </w:tc>
        <w:tc>
          <w:tcPr>
            <w:tcW w:w="1417" w:type="dxa"/>
            <w:tcBorders>
              <w:top w:val="nil"/>
              <w:left w:val="nil"/>
              <w:bottom w:val="nil"/>
              <w:right w:val="nil"/>
            </w:tcBorders>
            <w:vAlign w:val="bottom"/>
          </w:tcPr>
          <w:p w:rsidR="005A3237" w:rsidRPr="00227C94" w:rsidRDefault="005A3237" w:rsidP="005A3237">
            <w:pPr>
              <w:pStyle w:val="tblNumber01"/>
            </w:pPr>
            <w:r w:rsidRPr="00227C94">
              <w:t>302,176</w:t>
            </w:r>
          </w:p>
        </w:tc>
        <w:tc>
          <w:tcPr>
            <w:tcW w:w="28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bottom w:val="nil"/>
              <w:right w:val="nil"/>
            </w:tcBorders>
            <w:vAlign w:val="bottom"/>
          </w:tcPr>
          <w:p w:rsidR="005A3237" w:rsidRPr="00227C94" w:rsidRDefault="005A3237" w:rsidP="005A3237">
            <w:pPr>
              <w:pStyle w:val="tblNumber01"/>
            </w:pPr>
            <w:r w:rsidRPr="00227C94">
              <w:t>123,048</w:t>
            </w:r>
          </w:p>
        </w:tc>
        <w:tc>
          <w:tcPr>
            <w:tcW w:w="28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bottom w:val="nil"/>
              <w:right w:val="nil"/>
            </w:tcBorders>
            <w:vAlign w:val="bottom"/>
          </w:tcPr>
          <w:p w:rsidR="005A3237" w:rsidRPr="00227C94" w:rsidRDefault="005A3237" w:rsidP="005A3237">
            <w:pPr>
              <w:pStyle w:val="tblNumber01"/>
            </w:pPr>
            <w:r w:rsidRPr="00227C94">
              <w:t>146</w:t>
            </w:r>
          </w:p>
        </w:tc>
      </w:tr>
      <w:tr w:rsidR="005A3237" w:rsidRPr="00227C94" w:rsidTr="005A3237">
        <w:trPr>
          <w:cantSplit/>
        </w:trPr>
        <w:tc>
          <w:tcPr>
            <w:tcW w:w="4118" w:type="dxa"/>
            <w:tcBorders>
              <w:top w:val="nil"/>
              <w:left w:val="nil"/>
              <w:bottom w:val="nil"/>
              <w:right w:val="nil"/>
            </w:tcBorders>
          </w:tcPr>
          <w:p w:rsidR="005A3237" w:rsidRPr="00227C94" w:rsidRDefault="005A3237" w:rsidP="005A3237">
            <w:pPr>
              <w:pStyle w:val="tblText02"/>
            </w:pPr>
            <w:r w:rsidRPr="00227C94">
              <w:t>+ Current borrowings</w:t>
            </w:r>
          </w:p>
        </w:tc>
        <w:tc>
          <w:tcPr>
            <w:tcW w:w="1417" w:type="dxa"/>
            <w:tcBorders>
              <w:top w:val="nil"/>
              <w:left w:val="nil"/>
              <w:bottom w:val="nil"/>
              <w:right w:val="nil"/>
            </w:tcBorders>
            <w:vAlign w:val="bottom"/>
          </w:tcPr>
          <w:p w:rsidR="005A3237" w:rsidRPr="00227C94" w:rsidRDefault="005A3237" w:rsidP="005A3237">
            <w:pPr>
              <w:pStyle w:val="tblNumber01"/>
            </w:pPr>
            <w:r w:rsidRPr="00227C94">
              <w:t>33,333</w:t>
            </w:r>
          </w:p>
        </w:tc>
        <w:tc>
          <w:tcPr>
            <w:tcW w:w="28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bottom w:val="nil"/>
              <w:right w:val="nil"/>
            </w:tcBorders>
            <w:vAlign w:val="bottom"/>
          </w:tcPr>
          <w:p w:rsidR="005A3237" w:rsidRPr="00227C94" w:rsidRDefault="005A3237" w:rsidP="005A3237">
            <w:pPr>
              <w:pStyle w:val="tblNumber01"/>
            </w:pPr>
            <w:r w:rsidRPr="00227C94">
              <w:t>675,632</w:t>
            </w:r>
          </w:p>
        </w:tc>
        <w:tc>
          <w:tcPr>
            <w:tcW w:w="28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bottom w:val="nil"/>
              <w:right w:val="nil"/>
            </w:tcBorders>
            <w:vAlign w:val="bottom"/>
          </w:tcPr>
          <w:p w:rsidR="005A3237" w:rsidRPr="00227C94" w:rsidRDefault="005A3237" w:rsidP="005A3237">
            <w:pPr>
              <w:pStyle w:val="tblNumber00"/>
            </w:pPr>
            <w:r w:rsidRPr="00227C94">
              <w:t>(95)</w:t>
            </w:r>
          </w:p>
        </w:tc>
      </w:tr>
      <w:tr w:rsidR="005A3237" w:rsidRPr="00227C94" w:rsidTr="00A701F4">
        <w:trPr>
          <w:cantSplit/>
        </w:trPr>
        <w:tc>
          <w:tcPr>
            <w:tcW w:w="4118" w:type="dxa"/>
            <w:tcBorders>
              <w:top w:val="nil"/>
              <w:left w:val="nil"/>
              <w:bottom w:val="nil"/>
              <w:right w:val="nil"/>
            </w:tcBorders>
          </w:tcPr>
          <w:p w:rsidR="005A3237" w:rsidRPr="00227C94" w:rsidRDefault="005A3237" w:rsidP="005A3237">
            <w:pPr>
              <w:pStyle w:val="tblText02"/>
            </w:pPr>
            <w:r w:rsidRPr="00227C94">
              <w:t>- Cash and cash equivalents</w:t>
            </w:r>
          </w:p>
        </w:tc>
        <w:tc>
          <w:tcPr>
            <w:tcW w:w="1417" w:type="dxa"/>
            <w:tcBorders>
              <w:top w:val="nil"/>
              <w:left w:val="nil"/>
              <w:right w:val="nil"/>
            </w:tcBorders>
            <w:vAlign w:val="bottom"/>
          </w:tcPr>
          <w:p w:rsidR="005A3237" w:rsidRPr="00227C94" w:rsidRDefault="005A3237" w:rsidP="005A3237">
            <w:pPr>
              <w:pStyle w:val="tblNumber00"/>
            </w:pPr>
            <w:r w:rsidRPr="00227C94">
              <w:t>(847,954)</w:t>
            </w:r>
          </w:p>
        </w:tc>
        <w:tc>
          <w:tcPr>
            <w:tcW w:w="28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right w:val="nil"/>
            </w:tcBorders>
            <w:vAlign w:val="bottom"/>
          </w:tcPr>
          <w:p w:rsidR="005A3237" w:rsidRPr="00227C94" w:rsidRDefault="005A3237" w:rsidP="005A3237">
            <w:pPr>
              <w:pStyle w:val="tblNumber00"/>
            </w:pPr>
            <w:r w:rsidRPr="00227C94">
              <w:t>(657,448)</w:t>
            </w:r>
          </w:p>
        </w:tc>
        <w:tc>
          <w:tcPr>
            <w:tcW w:w="28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right w:val="nil"/>
            </w:tcBorders>
            <w:vAlign w:val="bottom"/>
          </w:tcPr>
          <w:p w:rsidR="005A3237" w:rsidRPr="00227C94" w:rsidRDefault="005A3237" w:rsidP="005A3237">
            <w:pPr>
              <w:pStyle w:val="tblNumber01"/>
            </w:pPr>
            <w:r w:rsidRPr="00227C94">
              <w:t>29</w:t>
            </w:r>
          </w:p>
        </w:tc>
      </w:tr>
      <w:tr w:rsidR="005A3237" w:rsidRPr="00227C94" w:rsidTr="00A701F4">
        <w:trPr>
          <w:cantSplit/>
        </w:trPr>
        <w:tc>
          <w:tcPr>
            <w:tcW w:w="4118" w:type="dxa"/>
            <w:tcBorders>
              <w:top w:val="nil"/>
              <w:left w:val="nil"/>
              <w:bottom w:val="nil"/>
              <w:right w:val="nil"/>
            </w:tcBorders>
            <w:vAlign w:val="center"/>
          </w:tcPr>
          <w:p w:rsidR="005A3237" w:rsidRPr="00227C94" w:rsidRDefault="005A3237" w:rsidP="005A3237">
            <w:pPr>
              <w:pStyle w:val="tblText02"/>
            </w:pPr>
            <w:r w:rsidRPr="00227C94">
              <w:t>- Bank deposits</w:t>
            </w:r>
          </w:p>
        </w:tc>
        <w:tc>
          <w:tcPr>
            <w:tcW w:w="1417" w:type="dxa"/>
            <w:tcBorders>
              <w:top w:val="nil"/>
              <w:left w:val="nil"/>
              <w:bottom w:val="single" w:sz="6" w:space="0" w:color="auto"/>
              <w:right w:val="nil"/>
            </w:tcBorders>
            <w:shd w:val="clear" w:color="auto" w:fill="auto"/>
            <w:vAlign w:val="bottom"/>
          </w:tcPr>
          <w:p w:rsidR="005A3237" w:rsidRPr="00227C94" w:rsidRDefault="005A3237" w:rsidP="005A3237">
            <w:pPr>
              <w:pStyle w:val="tblNumber00"/>
            </w:pPr>
            <w:r w:rsidRPr="00227C94">
              <w:t>(19,504)</w:t>
            </w:r>
          </w:p>
        </w:tc>
        <w:tc>
          <w:tcPr>
            <w:tcW w:w="28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bottom w:val="single" w:sz="6" w:space="0" w:color="auto"/>
              <w:right w:val="nil"/>
            </w:tcBorders>
            <w:shd w:val="clear" w:color="auto" w:fill="auto"/>
            <w:vAlign w:val="bottom"/>
          </w:tcPr>
          <w:p w:rsidR="005A3237" w:rsidRPr="00227C94" w:rsidRDefault="005A3237" w:rsidP="005A3237">
            <w:pPr>
              <w:pStyle w:val="tblNumber00"/>
            </w:pPr>
            <w:r w:rsidRPr="00227C94">
              <w:t>(39,351)</w:t>
            </w:r>
          </w:p>
        </w:tc>
        <w:tc>
          <w:tcPr>
            <w:tcW w:w="28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bottom w:val="single" w:sz="6" w:space="0" w:color="auto"/>
              <w:right w:val="nil"/>
            </w:tcBorders>
            <w:shd w:val="clear" w:color="auto" w:fill="auto"/>
            <w:vAlign w:val="bottom"/>
          </w:tcPr>
          <w:p w:rsidR="005A3237" w:rsidRPr="00227C94" w:rsidRDefault="005A3237" w:rsidP="005A3237">
            <w:pPr>
              <w:pStyle w:val="tblNumber00"/>
            </w:pPr>
            <w:r w:rsidRPr="00227C94">
              <w:t>(50)</w:t>
            </w:r>
          </w:p>
        </w:tc>
      </w:tr>
      <w:tr w:rsidR="005A3237" w:rsidRPr="00227C94" w:rsidTr="00A701F4">
        <w:trPr>
          <w:cantSplit/>
          <w:trHeight w:hRule="exact" w:val="113"/>
        </w:trPr>
        <w:tc>
          <w:tcPr>
            <w:tcW w:w="4118" w:type="dxa"/>
            <w:tcBorders>
              <w:top w:val="nil"/>
              <w:left w:val="nil"/>
              <w:bottom w:val="nil"/>
              <w:right w:val="nil"/>
            </w:tcBorders>
            <w:vAlign w:val="center"/>
          </w:tcPr>
          <w:p w:rsidR="005A3237" w:rsidRPr="00227C94" w:rsidRDefault="005A3237" w:rsidP="005A3237">
            <w:pPr>
              <w:pStyle w:val="tblText02"/>
            </w:pPr>
          </w:p>
        </w:tc>
        <w:tc>
          <w:tcPr>
            <w:tcW w:w="1417" w:type="dxa"/>
            <w:tcBorders>
              <w:top w:val="single" w:sz="6" w:space="0" w:color="auto"/>
              <w:left w:val="nil"/>
              <w:right w:val="nil"/>
            </w:tcBorders>
            <w:shd w:val="clear" w:color="auto" w:fill="auto"/>
            <w:vAlign w:val="bottom"/>
          </w:tcPr>
          <w:p w:rsidR="005A3237" w:rsidRPr="00227C94" w:rsidRDefault="005A3237" w:rsidP="005A3237">
            <w:pPr>
              <w:pStyle w:val="tblNumber00"/>
            </w:pPr>
          </w:p>
        </w:tc>
        <w:tc>
          <w:tcPr>
            <w:tcW w:w="28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single" w:sz="6" w:space="0" w:color="auto"/>
              <w:left w:val="nil"/>
              <w:right w:val="nil"/>
            </w:tcBorders>
            <w:shd w:val="clear" w:color="auto" w:fill="auto"/>
            <w:vAlign w:val="bottom"/>
          </w:tcPr>
          <w:p w:rsidR="005A3237" w:rsidRPr="00227C94" w:rsidRDefault="005A3237" w:rsidP="005A3237">
            <w:pPr>
              <w:pStyle w:val="tblNumber00"/>
            </w:pPr>
          </w:p>
        </w:tc>
        <w:tc>
          <w:tcPr>
            <w:tcW w:w="28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single" w:sz="6" w:space="0" w:color="auto"/>
              <w:left w:val="nil"/>
              <w:right w:val="nil"/>
            </w:tcBorders>
            <w:shd w:val="clear" w:color="auto" w:fill="auto"/>
            <w:vAlign w:val="bottom"/>
          </w:tcPr>
          <w:p w:rsidR="005A3237" w:rsidRPr="00227C94" w:rsidRDefault="005A3237" w:rsidP="005A3237">
            <w:pPr>
              <w:pStyle w:val="tblNumber00"/>
            </w:pPr>
          </w:p>
        </w:tc>
      </w:tr>
      <w:tr w:rsidR="005A3237" w:rsidRPr="00227C94" w:rsidTr="005A3237">
        <w:trPr>
          <w:cantSplit/>
        </w:trPr>
        <w:tc>
          <w:tcPr>
            <w:tcW w:w="4118" w:type="dxa"/>
            <w:tcBorders>
              <w:top w:val="nil"/>
              <w:left w:val="nil"/>
              <w:bottom w:val="nil"/>
              <w:right w:val="nil"/>
            </w:tcBorders>
          </w:tcPr>
          <w:p w:rsidR="005A3237" w:rsidRPr="00227C94" w:rsidRDefault="005A3237" w:rsidP="005A3237">
            <w:pPr>
              <w:pStyle w:val="tblText02"/>
              <w:rPr>
                <w:b/>
                <w:lang w:val="en-US"/>
              </w:rPr>
            </w:pPr>
            <w:r w:rsidRPr="00227C94">
              <w:rPr>
                <w:b/>
                <w:lang w:val="en-US"/>
              </w:rPr>
              <w:t>Net debt (cash and bank deposits)</w:t>
            </w:r>
          </w:p>
        </w:tc>
        <w:tc>
          <w:tcPr>
            <w:tcW w:w="1417" w:type="dxa"/>
            <w:tcBorders>
              <w:top w:val="nil"/>
              <w:left w:val="nil"/>
              <w:bottom w:val="double" w:sz="6" w:space="0" w:color="auto"/>
              <w:right w:val="nil"/>
            </w:tcBorders>
            <w:shd w:val="clear" w:color="auto" w:fill="auto"/>
            <w:vAlign w:val="bottom"/>
          </w:tcPr>
          <w:p w:rsidR="005A3237" w:rsidRPr="00227C94" w:rsidRDefault="005A3237" w:rsidP="005A3237">
            <w:pPr>
              <w:pStyle w:val="tblNumber00"/>
              <w:rPr>
                <w:b/>
              </w:rPr>
            </w:pPr>
            <w:r w:rsidRPr="00227C94">
              <w:rPr>
                <w:b/>
              </w:rPr>
              <w:t>(531,949)</w:t>
            </w:r>
          </w:p>
        </w:tc>
        <w:tc>
          <w:tcPr>
            <w:tcW w:w="28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bottom w:val="double" w:sz="6" w:space="0" w:color="auto"/>
              <w:right w:val="nil"/>
            </w:tcBorders>
            <w:shd w:val="clear" w:color="auto" w:fill="auto"/>
            <w:vAlign w:val="bottom"/>
          </w:tcPr>
          <w:p w:rsidR="005A3237" w:rsidRPr="00227C94" w:rsidRDefault="005A3237" w:rsidP="005A3237">
            <w:pPr>
              <w:pStyle w:val="tblNumber01"/>
              <w:rPr>
                <w:b/>
              </w:rPr>
            </w:pPr>
            <w:r w:rsidRPr="00227C94">
              <w:rPr>
                <w:b/>
              </w:rPr>
              <w:t>101,881</w:t>
            </w:r>
          </w:p>
        </w:tc>
        <w:tc>
          <w:tcPr>
            <w:tcW w:w="283" w:type="dxa"/>
            <w:tcBorders>
              <w:top w:val="nil"/>
              <w:left w:val="nil"/>
              <w:bottom w:val="nil"/>
              <w:right w:val="nil"/>
            </w:tcBorders>
            <w:vAlign w:val="bottom"/>
          </w:tcPr>
          <w:p w:rsidR="005A3237" w:rsidRPr="00227C94" w:rsidRDefault="005A3237" w:rsidP="005A3237">
            <w:pPr>
              <w:pStyle w:val="tblNumber01"/>
            </w:pPr>
          </w:p>
        </w:tc>
        <w:tc>
          <w:tcPr>
            <w:tcW w:w="1417" w:type="dxa"/>
            <w:tcBorders>
              <w:top w:val="nil"/>
              <w:left w:val="nil"/>
              <w:bottom w:val="double" w:sz="6" w:space="0" w:color="auto"/>
              <w:right w:val="nil"/>
            </w:tcBorders>
            <w:shd w:val="clear" w:color="auto" w:fill="auto"/>
            <w:vAlign w:val="bottom"/>
          </w:tcPr>
          <w:p w:rsidR="005A3237" w:rsidRPr="00227C94" w:rsidRDefault="005A3237" w:rsidP="005A3237">
            <w:pPr>
              <w:pStyle w:val="tblNumberDash"/>
              <w:rPr>
                <w:b/>
              </w:rPr>
            </w:pPr>
            <w:r w:rsidRPr="00227C94">
              <w:rPr>
                <w:b/>
              </w:rPr>
              <w:t>-</w:t>
            </w:r>
          </w:p>
        </w:tc>
      </w:tr>
    </w:tbl>
    <w:p w:rsidR="00916675" w:rsidRPr="00227C94" w:rsidRDefault="00916675" w:rsidP="005A3237">
      <w:pPr>
        <w:pStyle w:val="1"/>
        <w:pageBreakBefore/>
      </w:pPr>
      <w:r w:rsidRPr="00227C94">
        <w:lastRenderedPageBreak/>
        <w:t>Description of principal risks</w:t>
      </w:r>
    </w:p>
    <w:p w:rsidR="00916675" w:rsidRPr="00227C94" w:rsidRDefault="00916675" w:rsidP="005A3237">
      <w:pPr>
        <w:pStyle w:val="23"/>
        <w:rPr>
          <w:color w:val="auto"/>
        </w:rPr>
      </w:pPr>
    </w:p>
    <w:p w:rsidR="00916675" w:rsidRPr="00227C94" w:rsidRDefault="00916675" w:rsidP="005A3237">
      <w:pPr>
        <w:pStyle w:val="23"/>
        <w:rPr>
          <w:color w:val="auto"/>
          <w:spacing w:val="-2"/>
          <w:lang w:val="en-US"/>
        </w:rPr>
      </w:pPr>
      <w:r w:rsidRPr="00227C94">
        <w:rPr>
          <w:color w:val="auto"/>
          <w:spacing w:val="-2"/>
          <w:lang w:val="en-US"/>
        </w:rPr>
        <w:t>The activities of the Group are associated with a number of risks that may affect the Group’s production and financial results.</w:t>
      </w:r>
    </w:p>
    <w:p w:rsidR="00916675" w:rsidRPr="00227C94" w:rsidRDefault="00916675" w:rsidP="005A3237">
      <w:pPr>
        <w:pStyle w:val="23"/>
        <w:rPr>
          <w:color w:val="auto"/>
          <w:lang w:val="en-US"/>
        </w:rPr>
      </w:pPr>
    </w:p>
    <w:p w:rsidR="00916675" w:rsidRPr="00227C94" w:rsidRDefault="00916675" w:rsidP="005A3237">
      <w:pPr>
        <w:pStyle w:val="23"/>
        <w:rPr>
          <w:color w:val="auto"/>
          <w:spacing w:val="-2"/>
          <w:lang w:val="en-US"/>
        </w:rPr>
      </w:pPr>
      <w:r w:rsidRPr="00227C94">
        <w:rPr>
          <w:color w:val="auto"/>
          <w:spacing w:val="-2"/>
          <w:lang w:val="en-US"/>
        </w:rPr>
        <w:t>The Group is committed to achieving successful development, including through ensuring an effective risk management system designed to achieve optimal results, an efficient distribution of resources, and a strengthening of the Group’s competitiveness.</w:t>
      </w:r>
    </w:p>
    <w:p w:rsidR="00916675" w:rsidRPr="00227C94" w:rsidRDefault="00916675" w:rsidP="005A3237">
      <w:pPr>
        <w:pStyle w:val="23"/>
        <w:rPr>
          <w:color w:val="auto"/>
          <w:lang w:val="en-US"/>
        </w:rPr>
      </w:pPr>
    </w:p>
    <w:p w:rsidR="00916675" w:rsidRPr="00227C94" w:rsidRDefault="00916675" w:rsidP="005A3237">
      <w:pPr>
        <w:pStyle w:val="23"/>
        <w:rPr>
          <w:color w:val="auto"/>
          <w:lang w:val="en-US"/>
        </w:rPr>
      </w:pPr>
      <w:r w:rsidRPr="00227C94">
        <w:rPr>
          <w:color w:val="auto"/>
          <w:lang w:val="en-US"/>
        </w:rPr>
        <w:t>Successful risk management requires, amongst other things, the identification and assessment of potential threat parameters, and the development of measures aimed at mitigating potential risks. The Group has developed internal procedures governing the process through which risks are managed. Such procedures require that each business unit has a designated risk manager, identifies risks facing the unit, and takes measures aimed at lowering its risk levels.</w:t>
      </w:r>
    </w:p>
    <w:p w:rsidR="005A3237" w:rsidRPr="00227C94" w:rsidRDefault="005A3237" w:rsidP="005A3237">
      <w:pPr>
        <w:pStyle w:val="23"/>
        <w:rPr>
          <w:color w:val="auto"/>
          <w:lang w:val="en-US"/>
        </w:rPr>
      </w:pPr>
    </w:p>
    <w:p w:rsidR="00916675" w:rsidRPr="00227C94" w:rsidRDefault="00916675" w:rsidP="005A3237">
      <w:pPr>
        <w:pStyle w:val="22"/>
        <w:rPr>
          <w:lang w:val="en-US"/>
        </w:rPr>
      </w:pPr>
      <w:r w:rsidRPr="00227C94">
        <w:t>Operational risks</w:t>
      </w:r>
    </w:p>
    <w:p w:rsidR="005A3237" w:rsidRPr="00227C94" w:rsidRDefault="005A3237" w:rsidP="005A3237">
      <w:pPr>
        <w:pStyle w:val="23"/>
        <w:rPr>
          <w:color w:val="auto"/>
          <w:lang w:val="en-US"/>
        </w:rPr>
      </w:pPr>
    </w:p>
    <w:p w:rsidR="00916675" w:rsidRPr="00227C94" w:rsidRDefault="00916675" w:rsidP="00227C94">
      <w:pPr>
        <w:pStyle w:val="31"/>
        <w:ind w:left="567" w:firstLine="0"/>
        <w:rPr>
          <w:b w:val="0"/>
          <w:lang w:val="en-US"/>
        </w:rPr>
      </w:pPr>
      <w:r w:rsidRPr="00227C94">
        <w:rPr>
          <w:b w:val="0"/>
          <w:lang w:val="en-US"/>
        </w:rPr>
        <w:t>Ore and mineral reserves are difficult to quantify; actual volumes may differ from estimated, and therefore reserve estimates are subject to significant correction</w:t>
      </w:r>
    </w:p>
    <w:p w:rsidR="005A3237" w:rsidRPr="00227C94" w:rsidRDefault="005A3237" w:rsidP="005A3237">
      <w:pPr>
        <w:pStyle w:val="23"/>
        <w:rPr>
          <w:color w:val="auto"/>
          <w:lang w:val="en-US"/>
        </w:rPr>
      </w:pPr>
    </w:p>
    <w:p w:rsidR="00916675" w:rsidRPr="00227C94" w:rsidRDefault="00916675" w:rsidP="005A3237">
      <w:pPr>
        <w:pStyle w:val="23"/>
        <w:rPr>
          <w:color w:val="auto"/>
          <w:spacing w:val="-2"/>
          <w:lang w:val="en-US"/>
        </w:rPr>
      </w:pPr>
      <w:r w:rsidRPr="00227C94">
        <w:rPr>
          <w:color w:val="auto"/>
          <w:lang w:val="en-US"/>
        </w:rPr>
        <w:t xml:space="preserve">The Group’s activities are heavily reliant upon its available ore reserves and mineral resources. </w:t>
      </w:r>
      <w:r w:rsidR="005A3237" w:rsidRPr="00227C94">
        <w:rPr>
          <w:color w:val="auto"/>
          <w:lang w:val="en-US"/>
        </w:rPr>
        <w:br/>
      </w:r>
      <w:r w:rsidRPr="00227C94">
        <w:rPr>
          <w:color w:val="auto"/>
          <w:lang w:val="en-US"/>
        </w:rPr>
        <w:t xml:space="preserve">The evaluation of ore reserves and mineral resources depends to a certain extent on statistical conclusions made on the basis of the results of limited volumes of drilling and other analyses that may turn out to be incorrect. The evaluation and classification of ore and mineral reserves may also be affected by the changes in the prices of gold. If the quantity and quality of the explored reserves are not confirmed, the production efficiency may deteriorate as a result of labor consuming mining operations. The Group periodically engages independent experts to conduct audits on prospective </w:t>
      </w:r>
      <w:r w:rsidRPr="00227C94">
        <w:rPr>
          <w:color w:val="auto"/>
          <w:spacing w:val="-2"/>
          <w:lang w:val="en-US"/>
        </w:rPr>
        <w:t>and existing deposits and to provide reports on the results of the exploration activity, mineral resources and ore reserves.</w:t>
      </w:r>
    </w:p>
    <w:p w:rsidR="005A3237" w:rsidRPr="00227C94" w:rsidRDefault="005A3237" w:rsidP="005A3237">
      <w:pPr>
        <w:pStyle w:val="23"/>
        <w:rPr>
          <w:color w:val="auto"/>
          <w:lang w:val="en-US"/>
        </w:rPr>
      </w:pPr>
    </w:p>
    <w:p w:rsidR="00916675" w:rsidRPr="00227C94" w:rsidRDefault="00916675" w:rsidP="005A3237">
      <w:pPr>
        <w:pStyle w:val="31"/>
        <w:rPr>
          <w:b w:val="0"/>
          <w:lang w:val="en-US"/>
        </w:rPr>
      </w:pPr>
      <w:r w:rsidRPr="00227C94">
        <w:rPr>
          <w:b w:val="0"/>
          <w:lang w:val="en-US"/>
        </w:rPr>
        <w:t>Risks connected with mining and production activity</w:t>
      </w:r>
    </w:p>
    <w:p w:rsidR="005A3237" w:rsidRPr="00227C94" w:rsidRDefault="005A3237" w:rsidP="005A3237">
      <w:pPr>
        <w:pStyle w:val="23"/>
        <w:rPr>
          <w:color w:val="auto"/>
          <w:lang w:val="en-US"/>
        </w:rPr>
      </w:pPr>
    </w:p>
    <w:p w:rsidR="00916675" w:rsidRPr="00227C94" w:rsidRDefault="00916675" w:rsidP="005A3237">
      <w:pPr>
        <w:pStyle w:val="23"/>
        <w:rPr>
          <w:color w:val="auto"/>
          <w:lang w:val="en-US"/>
        </w:rPr>
      </w:pPr>
      <w:r w:rsidRPr="00227C94">
        <w:rPr>
          <w:color w:val="auto"/>
          <w:lang w:val="en-US"/>
        </w:rPr>
        <w:t>The Group’s production activities are carried out in remote regions, which are subject to severe climatic conditions. As a result, the delivery of equipment, technological materials and spare parts is more difficult, thus affecting production costs. Mining machinery, transport and new technologies, including those developed by the Group, are used for operations in areas which have complicated geological and climatic conditions.</w:t>
      </w:r>
    </w:p>
    <w:p w:rsidR="00916675" w:rsidRPr="00227C94" w:rsidRDefault="00916675" w:rsidP="005A3237">
      <w:pPr>
        <w:pStyle w:val="23"/>
        <w:rPr>
          <w:color w:val="auto"/>
          <w:lang w:val="en-US"/>
        </w:rPr>
      </w:pPr>
    </w:p>
    <w:p w:rsidR="00916675" w:rsidRPr="00227C94" w:rsidRDefault="00916675" w:rsidP="005A3237">
      <w:pPr>
        <w:pStyle w:val="23"/>
        <w:rPr>
          <w:color w:val="auto"/>
          <w:lang w:val="en-US"/>
        </w:rPr>
      </w:pPr>
      <w:r w:rsidRPr="00227C94">
        <w:rPr>
          <w:color w:val="auto"/>
          <w:lang w:val="en-US"/>
        </w:rPr>
        <w:t xml:space="preserve">There are increased risks of flooding, pit slope and rim slide, accidents caused by the use of the mining transport </w:t>
      </w:r>
      <w:r w:rsidRPr="00227C94">
        <w:rPr>
          <w:rStyle w:val="25"/>
          <w:color w:val="auto"/>
          <w:lang w:val="en-US"/>
        </w:rPr>
        <w:t>equipment and preparation and performance of explosion works in the pit, reduction of gold production due to adverse weathe</w:t>
      </w:r>
      <w:r w:rsidRPr="00227C94">
        <w:rPr>
          <w:color w:val="auto"/>
          <w:lang w:val="en-US"/>
        </w:rPr>
        <w:t>r conditions and problems in the power supply facilities and recovery plants. These risks could result in suspended ore production and recovery, increased costs, and health, safety and environmental issues and affect the Group’s production activities.</w:t>
      </w:r>
    </w:p>
    <w:p w:rsidR="00916675" w:rsidRPr="00227C94" w:rsidRDefault="00916675" w:rsidP="005A3237">
      <w:pPr>
        <w:pStyle w:val="23"/>
        <w:rPr>
          <w:color w:val="auto"/>
          <w:lang w:val="en-US"/>
        </w:rPr>
      </w:pPr>
    </w:p>
    <w:p w:rsidR="00916675" w:rsidRPr="00227C94" w:rsidRDefault="00916675" w:rsidP="005A3237">
      <w:pPr>
        <w:pStyle w:val="23"/>
        <w:rPr>
          <w:color w:val="auto"/>
          <w:spacing w:val="-3"/>
          <w:lang w:val="en-US"/>
        </w:rPr>
      </w:pPr>
      <w:r w:rsidRPr="00227C94">
        <w:rPr>
          <w:color w:val="auto"/>
          <w:lang w:val="en-US"/>
        </w:rPr>
        <w:t xml:space="preserve">The Group aims to mitigate the risks associated with unplanned production interruptions through </w:t>
      </w:r>
      <w:r w:rsidRPr="00227C94">
        <w:rPr>
          <w:color w:val="auto"/>
          <w:spacing w:val="-3"/>
          <w:lang w:val="en-US"/>
        </w:rPr>
        <w:t>various processes, including probability analysis and effective risk management. Such risk management includes the identification of potential threat parameters, the identification of defined risk categories and the adoption of measures designed to prevent accidents and emergencies. A risk reduction programme is also currently in the process of being developed.</w:t>
      </w:r>
    </w:p>
    <w:p w:rsidR="005A3237" w:rsidRPr="00227C94" w:rsidRDefault="005A3237" w:rsidP="005A3237">
      <w:pPr>
        <w:pStyle w:val="23"/>
        <w:rPr>
          <w:color w:val="auto"/>
          <w:lang w:val="en-US"/>
        </w:rPr>
      </w:pPr>
    </w:p>
    <w:p w:rsidR="00916675" w:rsidRPr="00227C94" w:rsidRDefault="00916675" w:rsidP="005A3237">
      <w:pPr>
        <w:pStyle w:val="31"/>
        <w:rPr>
          <w:b w:val="0"/>
          <w:lang w:val="en-US"/>
        </w:rPr>
      </w:pPr>
      <w:r w:rsidRPr="00227C94">
        <w:rPr>
          <w:b w:val="0"/>
          <w:lang w:val="en-US"/>
        </w:rPr>
        <w:t>Risks of non-compliance with contracts and delivery of equipment and materials</w:t>
      </w:r>
    </w:p>
    <w:p w:rsidR="005A3237" w:rsidRPr="00227C94" w:rsidRDefault="005A3237" w:rsidP="005A3237">
      <w:pPr>
        <w:pStyle w:val="23"/>
        <w:rPr>
          <w:color w:val="auto"/>
          <w:lang w:val="en-US"/>
        </w:rPr>
      </w:pPr>
    </w:p>
    <w:p w:rsidR="00916675" w:rsidRPr="00227C94" w:rsidRDefault="00916675" w:rsidP="005A3237">
      <w:pPr>
        <w:pStyle w:val="23"/>
        <w:rPr>
          <w:color w:val="auto"/>
          <w:lang w:val="en-US"/>
        </w:rPr>
      </w:pPr>
      <w:r w:rsidRPr="00227C94">
        <w:rPr>
          <w:color w:val="auto"/>
          <w:lang w:val="en-US"/>
        </w:rPr>
        <w:t>Interruption of material and technical supplies as a result of a failure of contractors and suppliers to fulfill their contractual obligations for the construction of new production facilities, or interruptions in the delivery of spare parts, and equipment could adversely affect the timing of the introduction of new production capacity and production plans.</w:t>
      </w:r>
    </w:p>
    <w:p w:rsidR="00916675" w:rsidRPr="00227C94" w:rsidRDefault="00916675" w:rsidP="005A3237">
      <w:pPr>
        <w:pStyle w:val="23"/>
        <w:rPr>
          <w:color w:val="auto"/>
          <w:lang w:val="en-US"/>
        </w:rPr>
      </w:pPr>
    </w:p>
    <w:p w:rsidR="00916675" w:rsidRPr="00227C94" w:rsidRDefault="00916675" w:rsidP="005A3237">
      <w:pPr>
        <w:pStyle w:val="23"/>
        <w:rPr>
          <w:color w:val="auto"/>
          <w:lang w:val="en-US"/>
        </w:rPr>
      </w:pPr>
      <w:r w:rsidRPr="00227C94">
        <w:rPr>
          <w:color w:val="auto"/>
          <w:lang w:val="en-US"/>
        </w:rPr>
        <w:t>To attempt to mitigate the risk of late delivery, the Group monitors the financial status of its major counterparties on a regular basis and takes measures to increase the number of counterparties with which it conducts business.</w:t>
      </w:r>
    </w:p>
    <w:p w:rsidR="005A3237" w:rsidRPr="00227C94" w:rsidRDefault="005A3237" w:rsidP="005A3237">
      <w:pPr>
        <w:pStyle w:val="23"/>
        <w:rPr>
          <w:color w:val="auto"/>
          <w:lang w:val="en-US"/>
        </w:rPr>
      </w:pPr>
    </w:p>
    <w:p w:rsidR="00916675" w:rsidRPr="00227C94" w:rsidRDefault="005A3237" w:rsidP="005A3237">
      <w:pPr>
        <w:pStyle w:val="31"/>
        <w:rPr>
          <w:b w:val="0"/>
          <w:lang w:val="en-US"/>
        </w:rPr>
      </w:pPr>
      <w:r w:rsidRPr="00227C94">
        <w:rPr>
          <w:b w:val="0"/>
          <w:lang w:val="en-US"/>
        </w:rPr>
        <w:br w:type="page"/>
      </w:r>
      <w:r w:rsidR="00916675" w:rsidRPr="00227C94">
        <w:rPr>
          <w:b w:val="0"/>
          <w:lang w:val="en-US"/>
        </w:rPr>
        <w:lastRenderedPageBreak/>
        <w:t>Risks connected with acquisition and merger transactions</w:t>
      </w:r>
    </w:p>
    <w:p w:rsidR="005A3237" w:rsidRPr="00227C94" w:rsidRDefault="005A3237" w:rsidP="005A3237">
      <w:pPr>
        <w:pStyle w:val="23"/>
        <w:rPr>
          <w:color w:val="auto"/>
          <w:lang w:val="en-US"/>
        </w:rPr>
      </w:pPr>
    </w:p>
    <w:p w:rsidR="00916675" w:rsidRPr="00227C94" w:rsidRDefault="00916675" w:rsidP="005A3237">
      <w:pPr>
        <w:pStyle w:val="23"/>
        <w:rPr>
          <w:color w:val="auto"/>
          <w:lang w:val="en-US"/>
        </w:rPr>
      </w:pPr>
      <w:r w:rsidRPr="00227C94">
        <w:rPr>
          <w:color w:val="auto"/>
          <w:lang w:val="en-US"/>
        </w:rPr>
        <w:t xml:space="preserve">The Group considers M&amp;A options that would reinforce its asset portfolio, offer attractive growth potential and geographic diversification. Such transactions may entail a variety of risks. To reduce </w:t>
      </w:r>
      <w:r w:rsidRPr="00227C94">
        <w:rPr>
          <w:color w:val="auto"/>
          <w:spacing w:val="-2"/>
          <w:lang w:val="en-US"/>
        </w:rPr>
        <w:t xml:space="preserve">the risks connected with any acquisition and merger transaction, the Group conducts a comprehensive </w:t>
      </w:r>
      <w:r w:rsidRPr="00227C94">
        <w:rPr>
          <w:color w:val="auto"/>
          <w:lang w:val="en-US"/>
        </w:rPr>
        <w:t>analysis of the pending transactions and an assessment of the consequences with due regard for political, economic, ecological and social factors.</w:t>
      </w:r>
    </w:p>
    <w:p w:rsidR="005A3237" w:rsidRPr="00227C94" w:rsidRDefault="005A3237" w:rsidP="005A3237">
      <w:pPr>
        <w:pStyle w:val="23"/>
        <w:rPr>
          <w:color w:val="auto"/>
          <w:lang w:val="en-US"/>
        </w:rPr>
      </w:pPr>
    </w:p>
    <w:p w:rsidR="00916675" w:rsidRPr="00227C94" w:rsidRDefault="00916675" w:rsidP="005A3237">
      <w:pPr>
        <w:pStyle w:val="22"/>
        <w:rPr>
          <w:lang w:val="en-US"/>
        </w:rPr>
      </w:pPr>
      <w:r w:rsidRPr="00227C94">
        <w:t>Financial risks</w:t>
      </w:r>
    </w:p>
    <w:p w:rsidR="005A3237" w:rsidRPr="00227C94" w:rsidRDefault="005A3237" w:rsidP="005A3237">
      <w:pPr>
        <w:pStyle w:val="23"/>
        <w:rPr>
          <w:color w:val="auto"/>
          <w:lang w:val="en-US"/>
        </w:rPr>
      </w:pPr>
    </w:p>
    <w:p w:rsidR="00916675" w:rsidRPr="00227C94" w:rsidRDefault="00916675" w:rsidP="005A3237">
      <w:pPr>
        <w:pStyle w:val="31"/>
        <w:rPr>
          <w:b w:val="0"/>
        </w:rPr>
      </w:pPr>
      <w:r w:rsidRPr="00227C94">
        <w:rPr>
          <w:b w:val="0"/>
        </w:rPr>
        <w:t>Inflation and market risks</w:t>
      </w:r>
    </w:p>
    <w:p w:rsidR="005A3237" w:rsidRPr="00227C94" w:rsidRDefault="005A3237" w:rsidP="005A3237">
      <w:pPr>
        <w:pStyle w:val="23"/>
        <w:rPr>
          <w:color w:val="auto"/>
          <w:lang w:val="en-US"/>
        </w:rPr>
      </w:pPr>
    </w:p>
    <w:p w:rsidR="00916675" w:rsidRPr="00227C94" w:rsidRDefault="00916675" w:rsidP="005A3237">
      <w:pPr>
        <w:pStyle w:val="23"/>
        <w:rPr>
          <w:color w:val="auto"/>
          <w:spacing w:val="-2"/>
          <w:lang w:val="en-US"/>
        </w:rPr>
      </w:pPr>
      <w:r w:rsidRPr="00227C94">
        <w:rPr>
          <w:color w:val="auto"/>
          <w:lang w:val="en-US"/>
        </w:rPr>
        <w:t xml:space="preserve">Increased inflation induced by the current economic climate may have an adverse impact on the </w:t>
      </w:r>
      <w:r w:rsidRPr="00227C94">
        <w:rPr>
          <w:color w:val="auto"/>
          <w:spacing w:val="-2"/>
          <w:lang w:val="en-US"/>
        </w:rPr>
        <w:t>Group’s financial results. Costs which are subject to inflationary changes are denominated in Russian Roubles and the Kazakhstan Tenge and include materials and utilities, wages and services. Increased tariff rates of the natural monopolies may also result in increased costs.</w:t>
      </w:r>
    </w:p>
    <w:p w:rsidR="00916675" w:rsidRPr="00227C94" w:rsidRDefault="00916675" w:rsidP="005A3237">
      <w:pPr>
        <w:pStyle w:val="23"/>
        <w:rPr>
          <w:color w:val="auto"/>
          <w:lang w:val="en-US"/>
        </w:rPr>
      </w:pPr>
    </w:p>
    <w:p w:rsidR="00916675" w:rsidRPr="00227C94" w:rsidRDefault="00916675" w:rsidP="005A3237">
      <w:pPr>
        <w:pStyle w:val="23"/>
        <w:rPr>
          <w:color w:val="auto"/>
          <w:lang w:val="en-US"/>
        </w:rPr>
      </w:pPr>
      <w:r w:rsidRPr="00227C94">
        <w:rPr>
          <w:color w:val="auto"/>
          <w:lang w:val="en-US"/>
        </w:rPr>
        <w:t>In order to reduce the impact of increasing tariff rates, the Group seeks to develop and moderni</w:t>
      </w:r>
      <w:r w:rsidR="005A0B85" w:rsidRPr="00227C94">
        <w:rPr>
          <w:color w:val="auto"/>
          <w:lang w:val="en-US"/>
        </w:rPr>
        <w:t>s</w:t>
      </w:r>
      <w:r w:rsidRPr="00227C94">
        <w:rPr>
          <w:color w:val="auto"/>
          <w:lang w:val="en-US"/>
        </w:rPr>
        <w:t xml:space="preserve">e its </w:t>
      </w:r>
      <w:r w:rsidRPr="00227C94">
        <w:rPr>
          <w:color w:val="auto"/>
          <w:spacing w:val="-2"/>
          <w:lang w:val="en-US"/>
        </w:rPr>
        <w:t xml:space="preserve">own energy-generating facilities and to purchase and consume energy resources based on long-term </w:t>
      </w:r>
      <w:r w:rsidRPr="00227C94">
        <w:rPr>
          <w:color w:val="auto"/>
          <w:lang w:val="en-US"/>
        </w:rPr>
        <w:t>fixed-price contracts. Prospective inflationary changes are also considered as a part of the analysis when preparing budgets and estimating costs of implementing investment projects.</w:t>
      </w:r>
    </w:p>
    <w:p w:rsidR="00916675" w:rsidRPr="00227C94" w:rsidRDefault="00916675" w:rsidP="005A3237">
      <w:pPr>
        <w:pStyle w:val="23"/>
        <w:rPr>
          <w:color w:val="auto"/>
          <w:lang w:val="en-US"/>
        </w:rPr>
      </w:pPr>
    </w:p>
    <w:p w:rsidR="00916675" w:rsidRPr="00227C94" w:rsidRDefault="00916675" w:rsidP="005A3237">
      <w:pPr>
        <w:pStyle w:val="23"/>
        <w:rPr>
          <w:color w:val="auto"/>
          <w:lang w:val="en-US"/>
        </w:rPr>
      </w:pPr>
      <w:r w:rsidRPr="00227C94">
        <w:rPr>
          <w:color w:val="auto"/>
          <w:lang w:val="en-US"/>
        </w:rPr>
        <w:t xml:space="preserve">The Group’s income is primarily derived from gold sales, which are generally effected at spot prices. Gold prices are quoted in international markets in US dollars. Accordingly, the economic results of the Group depend, to a considerable extent, on the fluctuations in the gold price. The gold market is </w:t>
      </w:r>
      <w:r w:rsidRPr="00227C94">
        <w:rPr>
          <w:color w:val="auto"/>
          <w:spacing w:val="-2"/>
          <w:lang w:val="en-US"/>
        </w:rPr>
        <w:t xml:space="preserve">cyclical and sensitive to any economic changes. The price of gold is subject to substantial fluctuations </w:t>
      </w:r>
      <w:r w:rsidRPr="00227C94">
        <w:rPr>
          <w:color w:val="auto"/>
          <w:lang w:val="en-US"/>
        </w:rPr>
        <w:t>and is affected by a number of factors which are beyond the control of the Group. A substantial gold price reduction may result in a reduction in the profitability of the Group.</w:t>
      </w:r>
    </w:p>
    <w:p w:rsidR="005A3237" w:rsidRPr="00227C94" w:rsidRDefault="005A3237" w:rsidP="005A3237">
      <w:pPr>
        <w:pStyle w:val="23"/>
        <w:rPr>
          <w:color w:val="auto"/>
          <w:lang w:val="en-US"/>
        </w:rPr>
      </w:pPr>
    </w:p>
    <w:p w:rsidR="00916675" w:rsidRPr="00227C94" w:rsidRDefault="00916675" w:rsidP="005A3237">
      <w:pPr>
        <w:pStyle w:val="31"/>
        <w:rPr>
          <w:b w:val="0"/>
          <w:lang w:val="en-US"/>
        </w:rPr>
      </w:pPr>
      <w:r w:rsidRPr="00227C94">
        <w:rPr>
          <w:b w:val="0"/>
        </w:rPr>
        <w:t>Liquidity risk</w:t>
      </w:r>
    </w:p>
    <w:p w:rsidR="005A3237" w:rsidRPr="00227C94" w:rsidRDefault="005A3237" w:rsidP="005A3237">
      <w:pPr>
        <w:pStyle w:val="23"/>
        <w:rPr>
          <w:color w:val="auto"/>
          <w:lang w:val="en-US"/>
        </w:rPr>
      </w:pPr>
    </w:p>
    <w:p w:rsidR="00916675" w:rsidRPr="00227C94" w:rsidRDefault="00916675" w:rsidP="005A3237">
      <w:pPr>
        <w:pStyle w:val="23"/>
        <w:rPr>
          <w:color w:val="auto"/>
          <w:lang w:val="en-US"/>
        </w:rPr>
      </w:pPr>
      <w:r w:rsidRPr="00227C94">
        <w:rPr>
          <w:color w:val="auto"/>
          <w:lang w:val="en-US"/>
        </w:rPr>
        <w:t xml:space="preserve">Management of liquidity risk is intended to maintain a sufficient level of monetary resources to fund production-, management-, and investment-related needs, to ensure stability of compliance with the </w:t>
      </w:r>
      <w:r w:rsidRPr="00227C94">
        <w:rPr>
          <w:color w:val="auto"/>
          <w:spacing w:val="-2"/>
          <w:lang w:val="en-US"/>
        </w:rPr>
        <w:t xml:space="preserve">financial obligations of the Group and to develop an appropriate capital structure. The Group monitors </w:t>
      </w:r>
      <w:r w:rsidRPr="00227C94">
        <w:rPr>
          <w:color w:val="auto"/>
          <w:spacing w:val="-4"/>
          <w:lang w:val="en-US"/>
        </w:rPr>
        <w:t xml:space="preserve">on a regular basis the following risks: production levels, operational expenditures, prices of raw materials, </w:t>
      </w:r>
      <w:r w:rsidRPr="00227C94">
        <w:rPr>
          <w:color w:val="auto"/>
          <w:lang w:val="en-US"/>
        </w:rPr>
        <w:t xml:space="preserve">volumes of floating assets and capital expenditure. The enterprises of the Group implement </w:t>
      </w:r>
      <w:r w:rsidR="005A3237" w:rsidRPr="00227C94">
        <w:rPr>
          <w:color w:val="auto"/>
          <w:lang w:val="en-US"/>
        </w:rPr>
        <w:br/>
      </w:r>
      <w:r w:rsidRPr="00227C94">
        <w:rPr>
          <w:color w:val="auto"/>
          <w:lang w:val="en-US"/>
        </w:rPr>
        <w:t>a co-ordinated and automatic program of cash asset record-keeping.</w:t>
      </w:r>
    </w:p>
    <w:p w:rsidR="005A3237" w:rsidRPr="00227C94" w:rsidRDefault="005A3237" w:rsidP="005A3237">
      <w:pPr>
        <w:pStyle w:val="23"/>
        <w:rPr>
          <w:color w:val="auto"/>
          <w:lang w:val="en-US"/>
        </w:rPr>
      </w:pPr>
    </w:p>
    <w:p w:rsidR="00916675" w:rsidRPr="00227C94" w:rsidRDefault="00916675" w:rsidP="005A3237">
      <w:pPr>
        <w:pStyle w:val="22"/>
        <w:rPr>
          <w:lang w:val="en-US"/>
        </w:rPr>
      </w:pPr>
      <w:r w:rsidRPr="00227C94">
        <w:t>Regulatory risks</w:t>
      </w:r>
    </w:p>
    <w:p w:rsidR="005A3237" w:rsidRPr="00227C94" w:rsidRDefault="005A3237" w:rsidP="005A3237">
      <w:pPr>
        <w:pStyle w:val="23"/>
        <w:rPr>
          <w:color w:val="auto"/>
        </w:rPr>
      </w:pPr>
    </w:p>
    <w:p w:rsidR="00916675" w:rsidRPr="00227C94" w:rsidRDefault="00916675" w:rsidP="00227C94">
      <w:pPr>
        <w:pStyle w:val="31"/>
        <w:ind w:left="426" w:firstLine="0"/>
        <w:rPr>
          <w:b w:val="0"/>
          <w:lang w:val="en-US"/>
        </w:rPr>
      </w:pPr>
      <w:r w:rsidRPr="00227C94">
        <w:rPr>
          <w:b w:val="0"/>
          <w:spacing w:val="-2"/>
          <w:lang w:val="en-US"/>
        </w:rPr>
        <w:t xml:space="preserve">The activities of the Group may be adversely impacted by the termination or non-renewal of its licences </w:t>
      </w:r>
      <w:r w:rsidRPr="00227C94">
        <w:rPr>
          <w:b w:val="0"/>
          <w:lang w:val="en-US"/>
        </w:rPr>
        <w:t>or the failure to obtain or comply with new licences</w:t>
      </w:r>
    </w:p>
    <w:p w:rsidR="005A3237" w:rsidRPr="00227C94" w:rsidRDefault="005A3237" w:rsidP="005A3237">
      <w:pPr>
        <w:pStyle w:val="23"/>
        <w:rPr>
          <w:color w:val="auto"/>
          <w:lang w:val="en-US"/>
        </w:rPr>
      </w:pPr>
    </w:p>
    <w:p w:rsidR="00916675" w:rsidRPr="00227C94" w:rsidRDefault="00916675" w:rsidP="005A3237">
      <w:pPr>
        <w:pStyle w:val="23"/>
        <w:rPr>
          <w:color w:val="auto"/>
          <w:lang w:val="en-US"/>
        </w:rPr>
      </w:pPr>
      <w:r w:rsidRPr="00227C94">
        <w:rPr>
          <w:color w:val="auto"/>
          <w:lang w:val="en-US"/>
        </w:rPr>
        <w:t xml:space="preserve">The ability of the Group to carry out its activities depends on its licences, in particular those licences relating to the use of mineral resources, and on being able to obtain new licences and comply with their terms. The terms of the licence agreements require the Group to comply with a number of </w:t>
      </w:r>
      <w:r w:rsidRPr="00227C94">
        <w:rPr>
          <w:color w:val="auto"/>
          <w:spacing w:val="-2"/>
          <w:lang w:val="en-US"/>
        </w:rPr>
        <w:t xml:space="preserve">industrial standards, employ qualified personnel, ensure that the necessary equipment and operational </w:t>
      </w:r>
      <w:r w:rsidRPr="00227C94">
        <w:rPr>
          <w:color w:val="auto"/>
          <w:lang w:val="en-US"/>
        </w:rPr>
        <w:t xml:space="preserve">quality control systems are available, maintain relevant documentation and provide information to </w:t>
      </w:r>
      <w:r w:rsidR="005A3237" w:rsidRPr="00227C94">
        <w:rPr>
          <w:color w:val="auto"/>
          <w:lang w:val="en-US"/>
        </w:rPr>
        <w:br/>
      </w:r>
      <w:r w:rsidRPr="00227C94">
        <w:rPr>
          <w:color w:val="auto"/>
          <w:lang w:val="en-US"/>
        </w:rPr>
        <w:t>the licensing authorities when requested. Failure to comply with any such terms may result in the termination of the licences critical to the operations of the Group or impose obligations on the Group, which may decrease its profitability.</w:t>
      </w:r>
    </w:p>
    <w:p w:rsidR="00916675" w:rsidRPr="00227C94" w:rsidRDefault="00916675" w:rsidP="005A3237">
      <w:pPr>
        <w:pStyle w:val="23"/>
        <w:rPr>
          <w:color w:val="auto"/>
          <w:lang w:val="en-US"/>
        </w:rPr>
      </w:pPr>
    </w:p>
    <w:p w:rsidR="00916675" w:rsidRPr="00227C94" w:rsidRDefault="00916675" w:rsidP="005A3237">
      <w:pPr>
        <w:pStyle w:val="23"/>
        <w:rPr>
          <w:color w:val="auto"/>
          <w:spacing w:val="-3"/>
          <w:lang w:val="en-US"/>
        </w:rPr>
      </w:pPr>
      <w:r w:rsidRPr="00227C94">
        <w:rPr>
          <w:color w:val="auto"/>
          <w:lang w:val="en-US"/>
        </w:rPr>
        <w:t xml:space="preserve">The Group is focused on improving its systems control over compliance with licence agreements and industrial standards requirements. These control activities include the analysis and response to </w:t>
      </w:r>
      <w:r w:rsidRPr="00227C94">
        <w:rPr>
          <w:color w:val="auto"/>
          <w:spacing w:val="-3"/>
          <w:lang w:val="en-US"/>
        </w:rPr>
        <w:t>comments or reports made by state regulatory and supervisory authorities in connection with inspections of the Group’s business activities.</w:t>
      </w:r>
    </w:p>
    <w:p w:rsidR="005A3237" w:rsidRPr="00227C94" w:rsidRDefault="005A3237" w:rsidP="005A3237">
      <w:pPr>
        <w:pStyle w:val="23"/>
        <w:rPr>
          <w:color w:val="auto"/>
          <w:lang w:val="en-US"/>
        </w:rPr>
      </w:pPr>
    </w:p>
    <w:p w:rsidR="00916675" w:rsidRPr="00227C94" w:rsidRDefault="00916675" w:rsidP="005A3237">
      <w:pPr>
        <w:pStyle w:val="31"/>
        <w:rPr>
          <w:b w:val="0"/>
          <w:lang w:val="en-US"/>
        </w:rPr>
      </w:pPr>
      <w:r w:rsidRPr="00227C94">
        <w:rPr>
          <w:b w:val="0"/>
        </w:rPr>
        <w:t>Tax risks</w:t>
      </w:r>
    </w:p>
    <w:p w:rsidR="005A3237" w:rsidRPr="00227C94" w:rsidRDefault="005A3237" w:rsidP="005A3237">
      <w:pPr>
        <w:pStyle w:val="23"/>
        <w:rPr>
          <w:color w:val="auto"/>
          <w:lang w:val="en-US"/>
        </w:rPr>
      </w:pPr>
    </w:p>
    <w:p w:rsidR="00916675" w:rsidRPr="00227C94" w:rsidRDefault="00916675" w:rsidP="005A3237">
      <w:pPr>
        <w:pStyle w:val="23"/>
        <w:rPr>
          <w:color w:val="auto"/>
          <w:lang w:val="en-US"/>
        </w:rPr>
      </w:pPr>
      <w:r w:rsidRPr="00227C94">
        <w:rPr>
          <w:color w:val="auto"/>
          <w:lang w:val="en-US"/>
        </w:rPr>
        <w:t>The Group pays a significant amount of taxes in the regions in which it operates. The tax obligations of the Group can result in uncertainties due to the ambiguity of certain tax legislation. The risks include: ambiguous interpretation of law, inconsistent application of legislation, amendments to tax legislation or change in application. Such risks may result in fines, penalties and other sanctions.</w:t>
      </w:r>
    </w:p>
    <w:p w:rsidR="00916675" w:rsidRPr="00227C94" w:rsidRDefault="005A3237" w:rsidP="005A3237">
      <w:pPr>
        <w:pStyle w:val="31"/>
        <w:rPr>
          <w:b w:val="0"/>
          <w:lang w:val="en-US"/>
        </w:rPr>
      </w:pPr>
      <w:r w:rsidRPr="00227C94">
        <w:rPr>
          <w:b w:val="0"/>
          <w:lang w:val="en-US"/>
        </w:rPr>
        <w:br w:type="page"/>
      </w:r>
      <w:r w:rsidR="00916675" w:rsidRPr="00227C94">
        <w:rPr>
          <w:b w:val="0"/>
        </w:rPr>
        <w:lastRenderedPageBreak/>
        <w:t>Changes in environmental legislation</w:t>
      </w:r>
    </w:p>
    <w:p w:rsidR="005A3237" w:rsidRPr="00227C94" w:rsidRDefault="005A3237" w:rsidP="005A3237">
      <w:pPr>
        <w:pStyle w:val="23"/>
        <w:spacing w:line="180" w:lineRule="exact"/>
        <w:rPr>
          <w:color w:val="auto"/>
          <w:lang w:val="en-US"/>
        </w:rPr>
      </w:pPr>
    </w:p>
    <w:p w:rsidR="00916675" w:rsidRPr="00227C94" w:rsidRDefault="00916675" w:rsidP="005A3237">
      <w:pPr>
        <w:pStyle w:val="23"/>
        <w:rPr>
          <w:color w:val="auto"/>
          <w:lang w:val="en-US"/>
        </w:rPr>
      </w:pPr>
      <w:r w:rsidRPr="00227C94">
        <w:rPr>
          <w:color w:val="auto"/>
          <w:lang w:val="en-US"/>
        </w:rPr>
        <w:t xml:space="preserve">The Group’s activities are subject to environmental control and regulation as a result of the use of environmentally hazardous substances, and the disposal of operational waste and hazardous substances into the environment, soil disturbance, potential harm to wildlife and other factors. The Group seeks to comply with its environmental obligations and follows the requirements of Russian and international standards, agreements, conventions and protocols applicable to it. The task of enhancing </w:t>
      </w:r>
      <w:r w:rsidR="00BC21C4" w:rsidRPr="00227C94">
        <w:rPr>
          <w:color w:val="auto"/>
          <w:lang w:val="en-US"/>
        </w:rPr>
        <w:t xml:space="preserve">the </w:t>
      </w:r>
      <w:r w:rsidRPr="00227C94">
        <w:rPr>
          <w:color w:val="auto"/>
          <w:lang w:val="en-US"/>
        </w:rPr>
        <w:t>efficiency of Group performance is intended, among other things, to reduce emissions of hazardous substances and develop waste disposal sites. Changes in environmental legislation and introduction of stricter licensing requirements may result in additional expenditures to modify industrial processes and an increase in environmental charges and fines.</w:t>
      </w:r>
    </w:p>
    <w:p w:rsidR="005A3237" w:rsidRPr="00227C94" w:rsidRDefault="005A3237" w:rsidP="005A3237">
      <w:pPr>
        <w:pStyle w:val="23"/>
        <w:spacing w:line="180" w:lineRule="exact"/>
        <w:rPr>
          <w:color w:val="auto"/>
          <w:lang w:val="en-US"/>
        </w:rPr>
      </w:pPr>
    </w:p>
    <w:p w:rsidR="00916675" w:rsidRPr="00227C94" w:rsidRDefault="00916675" w:rsidP="005A3237">
      <w:pPr>
        <w:pStyle w:val="22"/>
        <w:rPr>
          <w:lang w:val="en-US"/>
        </w:rPr>
      </w:pPr>
      <w:r w:rsidRPr="00227C94">
        <w:rPr>
          <w:lang w:val="en-US"/>
        </w:rPr>
        <w:t>Risks associated with the implementation of investment projects</w:t>
      </w:r>
    </w:p>
    <w:p w:rsidR="005A3237" w:rsidRPr="00227C94" w:rsidRDefault="005A3237" w:rsidP="005A3237">
      <w:pPr>
        <w:pStyle w:val="23"/>
        <w:spacing w:line="180" w:lineRule="exact"/>
        <w:rPr>
          <w:color w:val="auto"/>
          <w:lang w:val="en-US"/>
        </w:rPr>
      </w:pPr>
    </w:p>
    <w:p w:rsidR="00916675" w:rsidRPr="00227C94" w:rsidRDefault="00916675" w:rsidP="005A3237">
      <w:pPr>
        <w:pStyle w:val="23"/>
        <w:rPr>
          <w:color w:val="auto"/>
          <w:lang w:val="en-US"/>
        </w:rPr>
      </w:pPr>
      <w:r w:rsidRPr="00227C94">
        <w:rPr>
          <w:color w:val="auto"/>
          <w:lang w:val="en-US"/>
        </w:rPr>
        <w:t>The implementation of the Group’s investment projects is subject to market and operational risks. Market risks include the impact of changes in the price of gold, exchange rates and inflation.</w:t>
      </w:r>
    </w:p>
    <w:p w:rsidR="00916675" w:rsidRPr="00227C94" w:rsidRDefault="00916675" w:rsidP="005A3237">
      <w:pPr>
        <w:pStyle w:val="23"/>
        <w:spacing w:line="180" w:lineRule="exact"/>
        <w:rPr>
          <w:color w:val="auto"/>
          <w:lang w:val="en-US"/>
        </w:rPr>
      </w:pPr>
    </w:p>
    <w:p w:rsidR="00916675" w:rsidRPr="00227C94" w:rsidRDefault="00916675" w:rsidP="005A3237">
      <w:pPr>
        <w:pStyle w:val="23"/>
        <w:rPr>
          <w:color w:val="auto"/>
          <w:lang w:val="en-US"/>
        </w:rPr>
      </w:pPr>
      <w:r w:rsidRPr="00227C94">
        <w:rPr>
          <w:color w:val="auto"/>
        </w:rPr>
        <w:t>Operational risks include:</w:t>
      </w:r>
    </w:p>
    <w:p w:rsidR="005A3237" w:rsidRPr="00227C94" w:rsidRDefault="005A3237" w:rsidP="005A3237">
      <w:pPr>
        <w:pStyle w:val="23"/>
        <w:spacing w:line="180" w:lineRule="exact"/>
        <w:rPr>
          <w:color w:val="auto"/>
          <w:lang w:val="en-US"/>
        </w:rPr>
      </w:pPr>
    </w:p>
    <w:p w:rsidR="00916675" w:rsidRPr="00227C94" w:rsidRDefault="005A3237" w:rsidP="005A3237">
      <w:pPr>
        <w:pStyle w:val="20"/>
      </w:pPr>
      <w:r w:rsidRPr="00227C94">
        <w:t xml:space="preserve">Delays </w:t>
      </w:r>
      <w:r w:rsidR="00916675" w:rsidRPr="00227C94">
        <w:t>in commissioning projects;</w:t>
      </w:r>
    </w:p>
    <w:p w:rsidR="00916675" w:rsidRPr="00227C94" w:rsidRDefault="005A3237" w:rsidP="005A3237">
      <w:pPr>
        <w:pStyle w:val="20"/>
        <w:rPr>
          <w:spacing w:val="-2"/>
          <w:lang w:val="en-US"/>
        </w:rPr>
      </w:pPr>
      <w:r w:rsidRPr="00227C94">
        <w:rPr>
          <w:spacing w:val="-2"/>
          <w:lang w:val="en-US"/>
        </w:rPr>
        <w:t xml:space="preserve">Errors </w:t>
      </w:r>
      <w:r w:rsidR="00916675" w:rsidRPr="00227C94">
        <w:rPr>
          <w:spacing w:val="-2"/>
          <w:lang w:val="en-US"/>
        </w:rPr>
        <w:t>in design, construction and installation, which may result in increased planned project costs, or deficiencies in operations;</w:t>
      </w:r>
      <w:r w:rsidR="00BC21C4" w:rsidRPr="00227C94">
        <w:rPr>
          <w:spacing w:val="-2"/>
          <w:lang w:val="en-US"/>
        </w:rPr>
        <w:t xml:space="preserve"> and</w:t>
      </w:r>
    </w:p>
    <w:p w:rsidR="00916675" w:rsidRPr="00227C94" w:rsidRDefault="005A3237" w:rsidP="005A3237">
      <w:pPr>
        <w:pStyle w:val="20"/>
        <w:rPr>
          <w:lang w:val="en-US"/>
        </w:rPr>
      </w:pPr>
      <w:r w:rsidRPr="00227C94">
        <w:rPr>
          <w:lang w:val="en-US"/>
        </w:rPr>
        <w:t xml:space="preserve">Shortages </w:t>
      </w:r>
      <w:r w:rsidR="00916675" w:rsidRPr="00227C94">
        <w:rPr>
          <w:lang w:val="en-US"/>
        </w:rPr>
        <w:t>of skilled technicians due to competition in the recruitment of workers and employers and the difficulty in recruiting caused by the remote location of the associated</w:t>
      </w:r>
      <w:r w:rsidR="007B330D" w:rsidRPr="00227C94">
        <w:rPr>
          <w:lang w:val="en-US"/>
        </w:rPr>
        <w:t xml:space="preserve"> projects</w:t>
      </w:r>
      <w:r w:rsidR="00916675" w:rsidRPr="00227C94">
        <w:rPr>
          <w:lang w:val="en-US"/>
        </w:rPr>
        <w:t>.</w:t>
      </w:r>
    </w:p>
    <w:p w:rsidR="00916675" w:rsidRPr="00227C94" w:rsidRDefault="00916675" w:rsidP="005A3237">
      <w:pPr>
        <w:pStyle w:val="23"/>
        <w:spacing w:line="180" w:lineRule="exact"/>
        <w:rPr>
          <w:color w:val="auto"/>
          <w:lang w:val="en-US"/>
        </w:rPr>
      </w:pPr>
    </w:p>
    <w:p w:rsidR="00916675" w:rsidRPr="00227C94" w:rsidRDefault="00916675" w:rsidP="005A3237">
      <w:pPr>
        <w:pStyle w:val="22"/>
        <w:rPr>
          <w:lang w:val="en-US"/>
        </w:rPr>
      </w:pPr>
      <w:r w:rsidRPr="00227C94">
        <w:rPr>
          <w:lang w:val="en-US"/>
        </w:rPr>
        <w:t>Risks related to the Euro zone</w:t>
      </w:r>
    </w:p>
    <w:p w:rsidR="00916675" w:rsidRPr="00227C94" w:rsidRDefault="00916675" w:rsidP="005A3237">
      <w:pPr>
        <w:pStyle w:val="23"/>
        <w:spacing w:line="180" w:lineRule="exact"/>
        <w:rPr>
          <w:color w:val="auto"/>
          <w:lang w:val="en-US"/>
        </w:rPr>
      </w:pPr>
    </w:p>
    <w:p w:rsidR="00916675" w:rsidRPr="00227C94" w:rsidRDefault="00916675" w:rsidP="005A3237">
      <w:pPr>
        <w:pStyle w:val="23"/>
        <w:rPr>
          <w:color w:val="auto"/>
          <w:lang w:val="en-US"/>
        </w:rPr>
      </w:pPr>
      <w:r w:rsidRPr="00227C94">
        <w:rPr>
          <w:color w:val="auto"/>
          <w:spacing w:val="-2"/>
          <w:lang w:val="en-US"/>
        </w:rPr>
        <w:t xml:space="preserve">One of the possible </w:t>
      </w:r>
      <w:proofErr w:type="gramStart"/>
      <w:r w:rsidRPr="00227C94">
        <w:rPr>
          <w:color w:val="auto"/>
          <w:spacing w:val="-2"/>
          <w:lang w:val="en-US"/>
        </w:rPr>
        <w:t>outcome</w:t>
      </w:r>
      <w:proofErr w:type="gramEnd"/>
      <w:r w:rsidRPr="00227C94">
        <w:rPr>
          <w:color w:val="auto"/>
          <w:spacing w:val="-2"/>
          <w:lang w:val="en-US"/>
        </w:rPr>
        <w:t xml:space="preserve"> of the crisis in the Euro zone could be an essential worsening of</w:t>
      </w:r>
      <w:r w:rsidR="00BC21C4" w:rsidRPr="00227C94">
        <w:rPr>
          <w:color w:val="auto"/>
          <w:spacing w:val="-2"/>
          <w:lang w:val="en-US"/>
        </w:rPr>
        <w:t xml:space="preserve"> the</w:t>
      </w:r>
      <w:r w:rsidRPr="00227C94">
        <w:rPr>
          <w:color w:val="auto"/>
          <w:spacing w:val="-2"/>
          <w:lang w:val="en-US"/>
        </w:rPr>
        <w:t xml:space="preserve"> financial </w:t>
      </w:r>
      <w:r w:rsidRPr="00227C94">
        <w:rPr>
          <w:color w:val="auto"/>
          <w:lang w:val="en-US"/>
        </w:rPr>
        <w:t xml:space="preserve">position of some companies, producing equipment, reagents, materials. The possibility that these companies would discontinue operations could lead to a failure to act under the contract obligations </w:t>
      </w:r>
      <w:r w:rsidRPr="00227C94">
        <w:rPr>
          <w:color w:val="auto"/>
          <w:spacing w:val="-2"/>
          <w:lang w:val="en-US"/>
        </w:rPr>
        <w:t xml:space="preserve">and breach the schedule of material and maintenance supply of the Group. This could negatively effect commissioning of new production facilities and production plans fulfillment. In order to eliminate this risk </w:t>
      </w:r>
      <w:r w:rsidRPr="00227C94">
        <w:rPr>
          <w:color w:val="auto"/>
          <w:lang w:val="en-US"/>
        </w:rPr>
        <w:t xml:space="preserve">the Group diversifies </w:t>
      </w:r>
      <w:r w:rsidR="00BC21C4" w:rsidRPr="00227C94">
        <w:rPr>
          <w:color w:val="auto"/>
          <w:lang w:val="en-US"/>
        </w:rPr>
        <w:t xml:space="preserve">its </w:t>
      </w:r>
      <w:r w:rsidRPr="00227C94">
        <w:rPr>
          <w:color w:val="auto"/>
          <w:lang w:val="en-US"/>
        </w:rPr>
        <w:t>procurement portfolio globally</w:t>
      </w:r>
      <w:r w:rsidR="007B330D" w:rsidRPr="00227C94">
        <w:rPr>
          <w:color w:val="auto"/>
          <w:lang w:val="en-US"/>
        </w:rPr>
        <w:t xml:space="preserve"> and determines the use of</w:t>
      </w:r>
      <w:r w:rsidRPr="00227C94">
        <w:rPr>
          <w:color w:val="auto"/>
          <w:lang w:val="en-US"/>
        </w:rPr>
        <w:t xml:space="preserve"> interchangeable parts and materials.</w:t>
      </w:r>
    </w:p>
    <w:p w:rsidR="00916675" w:rsidRPr="00227C94" w:rsidRDefault="00916675" w:rsidP="005A3237">
      <w:pPr>
        <w:pStyle w:val="23"/>
        <w:spacing w:line="180" w:lineRule="exact"/>
        <w:rPr>
          <w:color w:val="auto"/>
          <w:lang w:val="en-US"/>
        </w:rPr>
      </w:pPr>
    </w:p>
    <w:p w:rsidR="00916675" w:rsidRPr="00227C94" w:rsidRDefault="00916675" w:rsidP="005A3237">
      <w:pPr>
        <w:pStyle w:val="23"/>
        <w:spacing w:line="180" w:lineRule="exact"/>
        <w:rPr>
          <w:color w:val="auto"/>
          <w:lang w:val="en-US"/>
        </w:rPr>
      </w:pPr>
    </w:p>
    <w:p w:rsidR="00916675" w:rsidRPr="00227C94" w:rsidRDefault="00916675" w:rsidP="005A3237">
      <w:pPr>
        <w:pStyle w:val="1"/>
      </w:pPr>
      <w:r w:rsidRPr="00227C94">
        <w:t>Related-parties transactions</w:t>
      </w:r>
    </w:p>
    <w:p w:rsidR="00916675" w:rsidRPr="00227C94" w:rsidRDefault="00916675" w:rsidP="005A3237">
      <w:pPr>
        <w:pStyle w:val="23"/>
        <w:spacing w:line="180" w:lineRule="exact"/>
        <w:rPr>
          <w:color w:val="auto"/>
        </w:rPr>
      </w:pPr>
    </w:p>
    <w:p w:rsidR="00916675" w:rsidRPr="00227C94" w:rsidRDefault="00916675" w:rsidP="005A3237">
      <w:pPr>
        <w:pStyle w:val="23"/>
        <w:rPr>
          <w:color w:val="auto"/>
          <w:spacing w:val="-2"/>
          <w:lang w:val="en-US"/>
        </w:rPr>
      </w:pPr>
      <w:r w:rsidRPr="00227C94">
        <w:rPr>
          <w:caps/>
          <w:color w:val="auto"/>
          <w:lang w:val="en-US"/>
        </w:rPr>
        <w:t>T</w:t>
      </w:r>
      <w:r w:rsidRPr="00227C94">
        <w:rPr>
          <w:color w:val="auto"/>
          <w:lang w:val="en-US"/>
        </w:rPr>
        <w:t xml:space="preserve">he Company’s ordinary shares were admitted to the premium segment of the Official List </w:t>
      </w:r>
      <w:r w:rsidRPr="00227C94">
        <w:rPr>
          <w:color w:val="auto"/>
          <w:spacing w:val="-2"/>
          <w:lang w:val="en-US"/>
        </w:rPr>
        <w:t xml:space="preserve">maintained by the UK Listing Authority and to trading on the London Stock Exchange’s main market for listed securities on 19 June 2012. As a result the Company and each company within the Group </w:t>
      </w:r>
      <w:proofErr w:type="gramStart"/>
      <w:r w:rsidR="007B330D" w:rsidRPr="00227C94">
        <w:rPr>
          <w:color w:val="auto"/>
          <w:spacing w:val="-2"/>
          <w:lang w:val="en-US"/>
        </w:rPr>
        <w:t>is</w:t>
      </w:r>
      <w:proofErr w:type="gramEnd"/>
      <w:r w:rsidRPr="00227C94">
        <w:rPr>
          <w:color w:val="auto"/>
          <w:spacing w:val="-2"/>
          <w:lang w:val="en-US"/>
        </w:rPr>
        <w:t xml:space="preserve"> subject to requirements, set out in Listing Rule 11 of the Listing Rules, in respect of any transaction or arrangement entered into with a Related Party.</w:t>
      </w:r>
    </w:p>
    <w:p w:rsidR="00916675" w:rsidRPr="00227C94" w:rsidRDefault="00916675" w:rsidP="005A3237">
      <w:pPr>
        <w:pStyle w:val="23"/>
        <w:spacing w:line="180" w:lineRule="exact"/>
        <w:rPr>
          <w:color w:val="auto"/>
          <w:lang w:val="en-US"/>
        </w:rPr>
      </w:pPr>
    </w:p>
    <w:p w:rsidR="00916675" w:rsidRPr="00227C94" w:rsidRDefault="00916675" w:rsidP="005A3237">
      <w:pPr>
        <w:pStyle w:val="23"/>
        <w:rPr>
          <w:color w:val="auto"/>
          <w:spacing w:val="-2"/>
          <w:lang w:val="en-US"/>
        </w:rPr>
      </w:pPr>
      <w:r w:rsidRPr="00227C94">
        <w:rPr>
          <w:color w:val="auto"/>
          <w:lang w:val="en-US"/>
        </w:rPr>
        <w:t xml:space="preserve">On 8 June 2012, in order to meet the requirements the Board of Directors of the Company approved </w:t>
      </w:r>
      <w:r w:rsidRPr="00227C94">
        <w:rPr>
          <w:color w:val="auto"/>
          <w:spacing w:val="-2"/>
          <w:lang w:val="en-US"/>
        </w:rPr>
        <w:t>Related Party Transaction Procedures (the Procedures). The Procedures set out a process of prompt identification of any potential transaction with a Related Party. The Group developed the Related Party List, which is maintained and controlled by the List Controller (General Council). According to the Procedures a Person responsible for identifying the Related Party transactions by reference to the Related Parties List (Responsible Person) is appointed in each company of the Group.</w:t>
      </w:r>
    </w:p>
    <w:p w:rsidR="00916675" w:rsidRPr="00227C94" w:rsidRDefault="00916675" w:rsidP="005A3237">
      <w:pPr>
        <w:pStyle w:val="23"/>
        <w:spacing w:line="180" w:lineRule="exact"/>
        <w:rPr>
          <w:color w:val="auto"/>
          <w:lang w:val="en-US"/>
        </w:rPr>
      </w:pPr>
    </w:p>
    <w:p w:rsidR="00916675" w:rsidRPr="00227C94" w:rsidRDefault="00916675" w:rsidP="005A3237">
      <w:pPr>
        <w:pStyle w:val="23"/>
        <w:rPr>
          <w:color w:val="auto"/>
          <w:lang w:val="en-US"/>
        </w:rPr>
      </w:pPr>
      <w:r w:rsidRPr="00227C94">
        <w:rPr>
          <w:color w:val="auto"/>
          <w:lang w:val="en-US"/>
        </w:rPr>
        <w:t>In the instance of such a transaction being identified</w:t>
      </w:r>
      <w:r w:rsidR="00BC21C4" w:rsidRPr="00227C94">
        <w:rPr>
          <w:color w:val="auto"/>
          <w:lang w:val="en-US"/>
        </w:rPr>
        <w:t>,</w:t>
      </w:r>
      <w:r w:rsidRPr="00227C94">
        <w:rPr>
          <w:color w:val="auto"/>
          <w:lang w:val="en-US"/>
        </w:rPr>
        <w:t xml:space="preserve"> the Responsible Person informs the List Controller. The List Controller together with the Sponsor bank (Sponsor) assesses whether it is </w:t>
      </w:r>
      <w:r w:rsidR="00BC21C4" w:rsidRPr="00227C94">
        <w:rPr>
          <w:color w:val="auto"/>
          <w:lang w:val="en-US"/>
        </w:rPr>
        <w:t xml:space="preserve">a </w:t>
      </w:r>
      <w:r w:rsidRPr="00227C94">
        <w:rPr>
          <w:color w:val="auto"/>
          <w:lang w:val="en-US"/>
        </w:rPr>
        <w:t>Related Party transaction, and then values the nature and size of the expected Related Party transaction by reference to the parameters set out in Listing Rules.</w:t>
      </w:r>
    </w:p>
    <w:p w:rsidR="00916675" w:rsidRPr="00227C94" w:rsidRDefault="00916675" w:rsidP="005A3237">
      <w:pPr>
        <w:pStyle w:val="23"/>
        <w:spacing w:line="180" w:lineRule="exact"/>
        <w:rPr>
          <w:color w:val="auto"/>
          <w:lang w:val="en-US"/>
        </w:rPr>
      </w:pPr>
    </w:p>
    <w:p w:rsidR="00916675" w:rsidRPr="00227C94" w:rsidRDefault="00916675" w:rsidP="005A3237">
      <w:pPr>
        <w:pStyle w:val="23"/>
        <w:rPr>
          <w:color w:val="auto"/>
          <w:lang w:val="en-US"/>
        </w:rPr>
      </w:pPr>
      <w:r w:rsidRPr="00227C94">
        <w:rPr>
          <w:color w:val="auto"/>
          <w:lang w:val="en-US"/>
        </w:rPr>
        <w:t xml:space="preserve">Thus, based on the Listing Rules and based on the specific nature and size of the transaction it </w:t>
      </w:r>
      <w:r w:rsidR="005A3237" w:rsidRPr="00227C94">
        <w:rPr>
          <w:color w:val="auto"/>
          <w:lang w:val="en-US"/>
        </w:rPr>
        <w:br/>
      </w:r>
      <w:r w:rsidRPr="00227C94">
        <w:rPr>
          <w:color w:val="auto"/>
          <w:lang w:val="en-US"/>
        </w:rPr>
        <w:t>1) does not require any approval 2) requires approval by the Board 3) requires the approval by the Board and further FSA notification 4) requires the pre-approval by the Board and final approval by shareholders of the Company.</w:t>
      </w:r>
    </w:p>
    <w:p w:rsidR="00916675" w:rsidRPr="00227C94" w:rsidRDefault="00916675" w:rsidP="005A3237">
      <w:pPr>
        <w:pStyle w:val="23"/>
        <w:spacing w:line="180" w:lineRule="exact"/>
        <w:rPr>
          <w:color w:val="auto"/>
          <w:lang w:val="en-US"/>
        </w:rPr>
      </w:pPr>
    </w:p>
    <w:p w:rsidR="00916675" w:rsidRPr="00227C94" w:rsidRDefault="00916675" w:rsidP="005A3237">
      <w:pPr>
        <w:pStyle w:val="23"/>
        <w:rPr>
          <w:color w:val="auto"/>
          <w:lang w:val="en-US"/>
        </w:rPr>
      </w:pPr>
      <w:r w:rsidRPr="00227C94">
        <w:rPr>
          <w:color w:val="auto"/>
          <w:spacing w:val="-4"/>
          <w:lang w:val="en-US"/>
        </w:rPr>
        <w:t>By 30 June 2012 the Group has deposited USD9</w:t>
      </w:r>
      <w:proofErr w:type="gramStart"/>
      <w:r w:rsidRPr="00227C94">
        <w:rPr>
          <w:color w:val="auto"/>
          <w:spacing w:val="-4"/>
          <w:lang w:val="en-US"/>
        </w:rPr>
        <w:t>,694</w:t>
      </w:r>
      <w:proofErr w:type="gramEnd"/>
      <w:r w:rsidRPr="00227C94">
        <w:rPr>
          <w:color w:val="auto"/>
          <w:spacing w:val="-4"/>
          <w:lang w:val="en-US"/>
        </w:rPr>
        <w:t xml:space="preserve"> thousand and accumulated USD112,257 thousand </w:t>
      </w:r>
      <w:r w:rsidRPr="00227C94">
        <w:rPr>
          <w:color w:val="auto"/>
          <w:lang w:val="en-US"/>
        </w:rPr>
        <w:t>as cash on the accounts with Bank “Mezhdunarodnyi Finansovyi Klub” (MFK), which is identified as a Related Party. However, all transactions with MFK had been implemented before the Company’s shares were admitted to the Premium list (and the Company met an obligation to follow LR 11) and do not require retrospective review and approval.</w:t>
      </w:r>
    </w:p>
    <w:p w:rsidR="00916675" w:rsidRPr="00227C94" w:rsidRDefault="00916675" w:rsidP="005A3237">
      <w:pPr>
        <w:pStyle w:val="23"/>
        <w:rPr>
          <w:color w:val="auto"/>
          <w:lang w:val="en-US"/>
        </w:rPr>
      </w:pPr>
    </w:p>
    <w:p w:rsidR="00916675" w:rsidRPr="00227C94" w:rsidRDefault="005A3237" w:rsidP="005A3237">
      <w:pPr>
        <w:pStyle w:val="1"/>
      </w:pPr>
      <w:r w:rsidRPr="00227C94">
        <w:rPr>
          <w:lang w:val="en-US"/>
        </w:rPr>
        <w:br w:type="page"/>
      </w:r>
      <w:r w:rsidR="00916675" w:rsidRPr="00227C94">
        <w:lastRenderedPageBreak/>
        <w:t>Going concern</w:t>
      </w:r>
      <w:r w:rsidR="001C03A7" w:rsidRPr="00227C94">
        <w:rPr>
          <w:lang w:val="en-GB"/>
        </w:rPr>
        <w:t xml:space="preserve"> statement</w:t>
      </w:r>
    </w:p>
    <w:p w:rsidR="00916675" w:rsidRPr="00227C94" w:rsidRDefault="00916675" w:rsidP="005A3237">
      <w:pPr>
        <w:pStyle w:val="23"/>
        <w:rPr>
          <w:color w:val="auto"/>
        </w:rPr>
      </w:pPr>
    </w:p>
    <w:p w:rsidR="00916675" w:rsidRPr="00227C94" w:rsidRDefault="00916675" w:rsidP="005A3237">
      <w:pPr>
        <w:pStyle w:val="23"/>
        <w:rPr>
          <w:color w:val="auto"/>
          <w:lang w:val="en-US"/>
        </w:rPr>
      </w:pPr>
      <w:r w:rsidRPr="00227C94">
        <w:rPr>
          <w:color w:val="auto"/>
          <w:lang w:val="en-US"/>
        </w:rPr>
        <w:t>As stated in note 2 to the condensed consolidated interim financial statements for the 6 months ended 30 June 2012, the Directors are satisfied that the Group has sufficient resources to continue in operation for the foreseeable future, a period of no less than 12 months from the date of this report. Accordingly, they continue to adopt the going concern basis in preparing the condensed consolidated interim financial statements.</w:t>
      </w:r>
    </w:p>
    <w:p w:rsidR="00916675" w:rsidRPr="00227C94" w:rsidRDefault="00916675" w:rsidP="005A3237">
      <w:pPr>
        <w:pStyle w:val="23"/>
        <w:rPr>
          <w:color w:val="auto"/>
          <w:lang w:val="en-US"/>
        </w:rPr>
      </w:pPr>
    </w:p>
    <w:p w:rsidR="005A3237" w:rsidRPr="00227C94" w:rsidRDefault="005A3237" w:rsidP="005A3237">
      <w:pPr>
        <w:pStyle w:val="23"/>
        <w:rPr>
          <w:color w:val="auto"/>
          <w:lang w:val="en-US"/>
        </w:rPr>
      </w:pPr>
    </w:p>
    <w:p w:rsidR="00916675" w:rsidRPr="00227C94" w:rsidRDefault="001C03A7" w:rsidP="005A3237">
      <w:pPr>
        <w:pStyle w:val="1"/>
        <w:rPr>
          <w:lang w:val="en-GB"/>
        </w:rPr>
      </w:pPr>
      <w:r w:rsidRPr="00227C94">
        <w:rPr>
          <w:lang w:val="en-GB"/>
        </w:rPr>
        <w:t>production</w:t>
      </w:r>
      <w:r w:rsidR="00916675" w:rsidRPr="00227C94">
        <w:rPr>
          <w:lang w:val="en-GB"/>
        </w:rPr>
        <w:t xml:space="preserve"> OUTLOOK</w:t>
      </w:r>
      <w:r w:rsidRPr="00227C94">
        <w:rPr>
          <w:lang w:val="en-GB"/>
        </w:rPr>
        <w:t xml:space="preserve"> for the year ending 31 December 2012</w:t>
      </w:r>
    </w:p>
    <w:p w:rsidR="00916675" w:rsidRPr="00227C94" w:rsidRDefault="00916675" w:rsidP="005A3237">
      <w:pPr>
        <w:pStyle w:val="23"/>
        <w:rPr>
          <w:color w:val="auto"/>
          <w:lang w:val="en-GB"/>
        </w:rPr>
      </w:pPr>
    </w:p>
    <w:p w:rsidR="00916675" w:rsidRPr="00227C94" w:rsidRDefault="00916675" w:rsidP="005A3237">
      <w:pPr>
        <w:pStyle w:val="23"/>
        <w:rPr>
          <w:color w:val="auto"/>
          <w:lang w:val="en-US"/>
        </w:rPr>
      </w:pPr>
      <w:r w:rsidRPr="00227C94">
        <w:rPr>
          <w:color w:val="auto"/>
          <w:spacing w:val="-2"/>
          <w:lang w:val="en-US"/>
        </w:rPr>
        <w:t xml:space="preserve">Based on the results of H1 2012, the Group confirms its FY 2012 production guidance of 1.6 million </w:t>
      </w:r>
      <w:r w:rsidRPr="00227C94">
        <w:rPr>
          <w:color w:val="auto"/>
          <w:lang w:val="en-US"/>
        </w:rPr>
        <w:t xml:space="preserve">ounces, including assets in Kazakhstan. This will be achieved through production growth at alluvial operations (subject to seasonality), further ramp-up of the Verninskoye mine, </w:t>
      </w:r>
      <w:r w:rsidR="00BC21C4" w:rsidRPr="00227C94">
        <w:rPr>
          <w:color w:val="auto"/>
          <w:lang w:val="en-US"/>
        </w:rPr>
        <w:t xml:space="preserve">and </w:t>
      </w:r>
      <w:r w:rsidRPr="00227C94">
        <w:rPr>
          <w:color w:val="auto"/>
          <w:lang w:val="en-US"/>
        </w:rPr>
        <w:t>production growth at Titimukhta (as a result of capacity increase to 2.4 million tonnes per annum).</w:t>
      </w:r>
    </w:p>
    <w:p w:rsidR="00916675" w:rsidRPr="00227C94" w:rsidRDefault="00BE1794" w:rsidP="005A3237">
      <w:pPr>
        <w:pStyle w:val="23"/>
        <w:rPr>
          <w:color w:val="auto"/>
          <w:lang w:val="en-US"/>
        </w:rPr>
      </w:pPr>
      <w:r w:rsidRPr="00227C94">
        <w:rPr>
          <w:color w:val="auto"/>
          <w:lang w:val="en-US"/>
        </w:rPr>
        <w:br w:type="page"/>
      </w:r>
    </w:p>
    <w:p w:rsidR="00BE1794" w:rsidRPr="00227C94" w:rsidRDefault="00BE1794" w:rsidP="00BE1794">
      <w:pPr>
        <w:pStyle w:val="ZX2Subhead"/>
        <w:rPr>
          <w:lang w:val="en-US"/>
        </w:rPr>
      </w:pPr>
      <w:r w:rsidRPr="00227C94">
        <w:rPr>
          <w:lang w:val="en-US"/>
        </w:rPr>
        <w:lastRenderedPageBreak/>
        <w:t>STATEMENT OF directors’ RESPONSIBILITIES</w:t>
      </w:r>
    </w:p>
    <w:p w:rsidR="00BE1794" w:rsidRPr="00227C94" w:rsidRDefault="00BE1794" w:rsidP="00BE1794">
      <w:pPr>
        <w:pStyle w:val="a4"/>
        <w:rPr>
          <w:lang w:val="en-US"/>
        </w:rPr>
      </w:pPr>
    </w:p>
    <w:p w:rsidR="00BE1794" w:rsidRPr="00227C94" w:rsidRDefault="00BE1794" w:rsidP="00BE1794">
      <w:pPr>
        <w:pStyle w:val="a4"/>
        <w:rPr>
          <w:lang w:val="en-US"/>
        </w:rPr>
      </w:pPr>
      <w:r w:rsidRPr="00227C94">
        <w:rPr>
          <w:lang w:val="en-US"/>
        </w:rPr>
        <w:t>We confirm that to the best of our knowledge:</w:t>
      </w:r>
    </w:p>
    <w:p w:rsidR="00BE1794" w:rsidRPr="00227C94" w:rsidRDefault="00BE1794" w:rsidP="00BE1794">
      <w:pPr>
        <w:pStyle w:val="a4"/>
        <w:rPr>
          <w:lang w:val="en-US"/>
        </w:rPr>
      </w:pPr>
    </w:p>
    <w:p w:rsidR="00BE1794" w:rsidRPr="00227C94" w:rsidRDefault="00BE1794" w:rsidP="00BE1794">
      <w:pPr>
        <w:pStyle w:val="a0"/>
        <w:rPr>
          <w:lang w:val="en-US"/>
        </w:rPr>
      </w:pPr>
      <w:r w:rsidRPr="00227C94">
        <w:rPr>
          <w:lang w:val="en-US"/>
        </w:rPr>
        <w:t>The condensed consolidated interim financial statements has been prepared in accordance with IAS 34 Interim Financial Reporting;</w:t>
      </w:r>
    </w:p>
    <w:p w:rsidR="00BE1794" w:rsidRPr="00227C94" w:rsidRDefault="00BE1794" w:rsidP="00BE1794">
      <w:pPr>
        <w:pStyle w:val="a0"/>
        <w:rPr>
          <w:lang w:val="en-US"/>
        </w:rPr>
      </w:pPr>
      <w:r w:rsidRPr="00227C94">
        <w:rPr>
          <w:lang w:val="en-US"/>
        </w:rPr>
        <w:t>The interim management report includes a fair review of the information required by DTR4.2.7R (indication of important events during the first six months and description of principal risks and uncertainties for the remaining six months of the year), and;</w:t>
      </w:r>
    </w:p>
    <w:p w:rsidR="00BE1794" w:rsidRPr="00227C94" w:rsidRDefault="00BE1794" w:rsidP="00BE1794">
      <w:pPr>
        <w:pStyle w:val="a0"/>
        <w:rPr>
          <w:lang w:val="en-US"/>
        </w:rPr>
      </w:pPr>
      <w:r w:rsidRPr="00227C94">
        <w:rPr>
          <w:lang w:val="en-US"/>
        </w:rPr>
        <w:t>The Interim Management Report includes a fair review of the information required by DTR4.2.8R (related parties’ transactions and changes therein).</w:t>
      </w:r>
    </w:p>
    <w:p w:rsidR="00BE1794" w:rsidRPr="00227C94" w:rsidRDefault="00BE1794" w:rsidP="00BE1794">
      <w:pPr>
        <w:pStyle w:val="a4"/>
        <w:rPr>
          <w:lang w:val="en-US"/>
        </w:rPr>
      </w:pPr>
    </w:p>
    <w:p w:rsidR="00BE1794" w:rsidRPr="00227C94" w:rsidRDefault="00BE1794" w:rsidP="00BE1794">
      <w:pPr>
        <w:pStyle w:val="a4"/>
        <w:rPr>
          <w:lang w:val="en-US"/>
        </w:rPr>
      </w:pPr>
      <w:r w:rsidRPr="00227C94">
        <w:rPr>
          <w:lang w:val="en-US"/>
        </w:rPr>
        <w:t>The names of the Directors of Polyus Gold International Limited are as follows:</w:t>
      </w:r>
    </w:p>
    <w:p w:rsidR="00BE1794" w:rsidRPr="00227C94" w:rsidRDefault="00BE1794" w:rsidP="00BE1794">
      <w:pPr>
        <w:pStyle w:val="a4"/>
        <w:rPr>
          <w:lang w:val="en-US"/>
        </w:rPr>
      </w:pPr>
    </w:p>
    <w:p w:rsidR="00BE1794" w:rsidRPr="00227C94" w:rsidRDefault="00BE1794" w:rsidP="00BE1794">
      <w:pPr>
        <w:pStyle w:val="a0"/>
      </w:pPr>
      <w:r w:rsidRPr="00227C94">
        <w:t>Robert Buchan</w:t>
      </w:r>
      <w:r w:rsidRPr="00227C94">
        <w:rPr>
          <w:lang w:val="en-US"/>
        </w:rPr>
        <w:t>;</w:t>
      </w:r>
    </w:p>
    <w:p w:rsidR="00BE1794" w:rsidRPr="00227C94" w:rsidRDefault="005D5A2C" w:rsidP="00BE1794">
      <w:pPr>
        <w:pStyle w:val="a0"/>
      </w:pPr>
      <w:hyperlink r:id="rId12" w:history="1">
        <w:r w:rsidR="00BE1794" w:rsidRPr="00227C94">
          <w:t>Adrian Coates</w:t>
        </w:r>
      </w:hyperlink>
      <w:r w:rsidR="00BE1794" w:rsidRPr="00227C94">
        <w:rPr>
          <w:lang w:val="en-US"/>
        </w:rPr>
        <w:t>;</w:t>
      </w:r>
    </w:p>
    <w:p w:rsidR="00BE1794" w:rsidRPr="00227C94" w:rsidRDefault="005D5A2C" w:rsidP="00BE1794">
      <w:pPr>
        <w:pStyle w:val="a0"/>
      </w:pPr>
      <w:hyperlink r:id="rId13" w:history="1">
        <w:r w:rsidR="00BE1794" w:rsidRPr="00227C94">
          <w:t>Bruce Buck</w:t>
        </w:r>
      </w:hyperlink>
      <w:r w:rsidR="00BE1794" w:rsidRPr="00227C94">
        <w:rPr>
          <w:lang w:val="en-US"/>
        </w:rPr>
        <w:t>;</w:t>
      </w:r>
    </w:p>
    <w:p w:rsidR="00BE1794" w:rsidRPr="00227C94" w:rsidRDefault="00BE1794" w:rsidP="00BE1794">
      <w:pPr>
        <w:pStyle w:val="a0"/>
        <w:rPr>
          <w:lang w:eastAsia="en-US"/>
        </w:rPr>
      </w:pPr>
      <w:r w:rsidRPr="00227C94">
        <w:rPr>
          <w:lang w:eastAsia="en-US"/>
        </w:rPr>
        <w:t>The Earl of Clanwilliam</w:t>
      </w:r>
      <w:r w:rsidRPr="00227C94">
        <w:rPr>
          <w:lang w:val="en-US" w:eastAsia="en-US"/>
        </w:rPr>
        <w:t>;</w:t>
      </w:r>
    </w:p>
    <w:p w:rsidR="00BE1794" w:rsidRPr="00227C94" w:rsidRDefault="005D5A2C" w:rsidP="00BE1794">
      <w:pPr>
        <w:pStyle w:val="a0"/>
      </w:pPr>
      <w:hyperlink r:id="rId14" w:history="1">
        <w:r w:rsidR="00BE1794" w:rsidRPr="00227C94">
          <w:t>Anna Kolonchina</w:t>
        </w:r>
      </w:hyperlink>
      <w:r w:rsidR="00BE1794" w:rsidRPr="00227C94">
        <w:rPr>
          <w:lang w:val="en-US"/>
        </w:rPr>
        <w:t>;</w:t>
      </w:r>
    </w:p>
    <w:p w:rsidR="00BE1794" w:rsidRPr="00227C94" w:rsidRDefault="005D5A2C" w:rsidP="00BE1794">
      <w:pPr>
        <w:pStyle w:val="a0"/>
      </w:pPr>
      <w:hyperlink r:id="rId15" w:history="1">
        <w:r w:rsidR="00BE1794" w:rsidRPr="00227C94">
          <w:t>Kobus Moolman</w:t>
        </w:r>
      </w:hyperlink>
      <w:r w:rsidR="00BE1794" w:rsidRPr="00227C94">
        <w:rPr>
          <w:lang w:val="en-US"/>
        </w:rPr>
        <w:t>;</w:t>
      </w:r>
    </w:p>
    <w:p w:rsidR="00BE1794" w:rsidRPr="00227C94" w:rsidRDefault="005D5A2C" w:rsidP="00BE1794">
      <w:pPr>
        <w:pStyle w:val="a0"/>
      </w:pPr>
      <w:hyperlink r:id="rId16" w:history="1">
        <w:r w:rsidR="00BE1794" w:rsidRPr="00227C94">
          <w:t>Alexander Mosionzhik</w:t>
        </w:r>
      </w:hyperlink>
      <w:r w:rsidR="00BE1794" w:rsidRPr="00227C94">
        <w:rPr>
          <w:lang w:val="en-US"/>
        </w:rPr>
        <w:t>;</w:t>
      </w:r>
    </w:p>
    <w:p w:rsidR="00BE1794" w:rsidRPr="00227C94" w:rsidRDefault="005D5A2C" w:rsidP="00BE1794">
      <w:pPr>
        <w:pStyle w:val="a0"/>
      </w:pPr>
      <w:hyperlink r:id="rId17" w:history="1">
        <w:r w:rsidR="00BE1794" w:rsidRPr="00227C94">
          <w:t>German Pikhoya</w:t>
        </w:r>
      </w:hyperlink>
      <w:r w:rsidR="00BE1794" w:rsidRPr="00227C94">
        <w:rPr>
          <w:lang w:val="en-US"/>
        </w:rPr>
        <w:t>;</w:t>
      </w:r>
    </w:p>
    <w:p w:rsidR="00BE1794" w:rsidRPr="00227C94" w:rsidRDefault="00BE1794" w:rsidP="00BE1794">
      <w:pPr>
        <w:pStyle w:val="a0"/>
      </w:pPr>
      <w:r w:rsidRPr="00227C94">
        <w:t>Dmitry Razumov</w:t>
      </w:r>
      <w:r w:rsidRPr="00227C94">
        <w:rPr>
          <w:lang w:val="en-US"/>
        </w:rPr>
        <w:t>.</w:t>
      </w:r>
    </w:p>
    <w:p w:rsidR="00BE1794" w:rsidRPr="00227C94" w:rsidRDefault="00BE1794" w:rsidP="00BE1794">
      <w:pPr>
        <w:pStyle w:val="a4"/>
      </w:pPr>
    </w:p>
    <w:p w:rsidR="00BE1794" w:rsidRPr="00227C94" w:rsidRDefault="00BE1794" w:rsidP="00BE1794">
      <w:pPr>
        <w:pStyle w:val="a4"/>
        <w:rPr>
          <w:lang w:val="en-US"/>
        </w:rPr>
      </w:pPr>
      <w:r w:rsidRPr="00227C94">
        <w:rPr>
          <w:lang w:val="en-US"/>
        </w:rPr>
        <w:t>The responsibility statement was approved by the Board of Directors on 29 August 2012 and signed on its behalf by:</w:t>
      </w:r>
    </w:p>
    <w:p w:rsidR="00BE1794" w:rsidRPr="00227C94" w:rsidRDefault="00BE1794" w:rsidP="00BE1794">
      <w:pPr>
        <w:pStyle w:val="a4"/>
        <w:rPr>
          <w:lang w:val="en-US"/>
        </w:rPr>
      </w:pPr>
    </w:p>
    <w:p w:rsidR="00BE1794" w:rsidRPr="00227C94" w:rsidRDefault="00BE1794" w:rsidP="00BE1794">
      <w:pPr>
        <w:pStyle w:val="a4"/>
        <w:rPr>
          <w:lang w:val="en-US"/>
        </w:rPr>
      </w:pPr>
    </w:p>
    <w:p w:rsidR="00BE1794" w:rsidRPr="00227C94" w:rsidRDefault="00BE1794" w:rsidP="00BE1794">
      <w:pPr>
        <w:pStyle w:val="a4"/>
        <w:rPr>
          <w:lang w:val="en-US"/>
        </w:rPr>
      </w:pPr>
    </w:p>
    <w:p w:rsidR="00BE1794" w:rsidRPr="00227C94" w:rsidRDefault="00BE1794" w:rsidP="00BE1794">
      <w:pPr>
        <w:pStyle w:val="a4"/>
        <w:rPr>
          <w:lang w:val="en-US"/>
        </w:rPr>
      </w:pPr>
      <w:r w:rsidRPr="00227C94">
        <w:rPr>
          <w:lang w:val="en-US"/>
        </w:rPr>
        <w:t>______________________________</w:t>
      </w:r>
    </w:p>
    <w:p w:rsidR="00BE1794" w:rsidRPr="00227C94" w:rsidRDefault="00BE1794" w:rsidP="00BE1794">
      <w:pPr>
        <w:pStyle w:val="a4"/>
        <w:rPr>
          <w:b/>
          <w:bCs/>
          <w:lang w:val="en-US"/>
        </w:rPr>
      </w:pPr>
      <w:r w:rsidRPr="00227C94">
        <w:rPr>
          <w:b/>
          <w:bCs/>
          <w:lang w:val="en-US"/>
        </w:rPr>
        <w:t>Pikhoya G.R.</w:t>
      </w:r>
    </w:p>
    <w:p w:rsidR="00BE1794" w:rsidRPr="00227C94" w:rsidRDefault="00BE1794" w:rsidP="00BE1794">
      <w:pPr>
        <w:pStyle w:val="a4"/>
        <w:rPr>
          <w:lang w:val="en-US"/>
        </w:rPr>
      </w:pPr>
      <w:r w:rsidRPr="00227C94">
        <w:rPr>
          <w:lang w:val="en-US"/>
        </w:rPr>
        <w:t>Chief Executive Officer</w:t>
      </w:r>
    </w:p>
    <w:p w:rsidR="00BE1794" w:rsidRPr="00227C94" w:rsidRDefault="00BE1794" w:rsidP="00BE1794">
      <w:pPr>
        <w:pStyle w:val="a4"/>
        <w:rPr>
          <w:lang w:val="en-US"/>
        </w:rPr>
      </w:pPr>
    </w:p>
    <w:p w:rsidR="00BE1794" w:rsidRPr="00227C94" w:rsidRDefault="00BE1794" w:rsidP="00BE1794">
      <w:pPr>
        <w:pStyle w:val="a4"/>
        <w:rPr>
          <w:lang w:val="en-US"/>
        </w:rPr>
      </w:pPr>
    </w:p>
    <w:p w:rsidR="00BE1794" w:rsidRPr="00227C94" w:rsidRDefault="00BE1794" w:rsidP="00BE1794">
      <w:pPr>
        <w:pStyle w:val="a4"/>
        <w:rPr>
          <w:lang w:val="en-US"/>
        </w:rPr>
      </w:pPr>
    </w:p>
    <w:p w:rsidR="00BE1794" w:rsidRPr="00227C94" w:rsidRDefault="00BE1794" w:rsidP="00BE1794">
      <w:pPr>
        <w:pStyle w:val="a4"/>
        <w:rPr>
          <w:lang w:val="en-US"/>
        </w:rPr>
      </w:pPr>
      <w:r w:rsidRPr="00227C94">
        <w:rPr>
          <w:lang w:val="en-US"/>
        </w:rPr>
        <w:t>______________________________</w:t>
      </w:r>
    </w:p>
    <w:p w:rsidR="00BE1794" w:rsidRPr="00227C94" w:rsidRDefault="00BE1794" w:rsidP="00BE1794">
      <w:pPr>
        <w:pStyle w:val="a4"/>
        <w:rPr>
          <w:b/>
          <w:bCs/>
          <w:lang w:val="en-US"/>
        </w:rPr>
      </w:pPr>
      <w:r w:rsidRPr="00227C94">
        <w:rPr>
          <w:b/>
          <w:bCs/>
          <w:lang w:val="en-US"/>
        </w:rPr>
        <w:t>Ignatov O.V.</w:t>
      </w:r>
    </w:p>
    <w:p w:rsidR="00BE1794" w:rsidRPr="00227C94" w:rsidRDefault="00BE1794" w:rsidP="00BE1794">
      <w:pPr>
        <w:pStyle w:val="a4"/>
        <w:rPr>
          <w:lang w:val="en-US"/>
        </w:rPr>
      </w:pPr>
      <w:r w:rsidRPr="00227C94">
        <w:rPr>
          <w:lang w:val="en-US"/>
        </w:rPr>
        <w:t>Chief Financial Officer</w:t>
      </w:r>
    </w:p>
    <w:p w:rsidR="00BE1794" w:rsidRPr="00227C94" w:rsidRDefault="00BE1794" w:rsidP="00BE1794">
      <w:pPr>
        <w:pStyle w:val="a4"/>
        <w:rPr>
          <w:lang w:val="en-US"/>
        </w:rPr>
      </w:pPr>
    </w:p>
    <w:p w:rsidR="00BE1794" w:rsidRPr="00227C94" w:rsidRDefault="00BE1794" w:rsidP="00BE1794">
      <w:pPr>
        <w:pStyle w:val="a4"/>
        <w:rPr>
          <w:lang w:val="en-US"/>
        </w:rPr>
      </w:pPr>
      <w:r w:rsidRPr="00227C94">
        <w:rPr>
          <w:lang w:val="en-US"/>
        </w:rPr>
        <w:t>29 August 2012</w:t>
      </w:r>
    </w:p>
    <w:p w:rsidR="00BE1794" w:rsidRPr="00227C94" w:rsidRDefault="00BE1794" w:rsidP="00BE1794">
      <w:pPr>
        <w:pStyle w:val="a4"/>
        <w:rPr>
          <w:b/>
          <w:sz w:val="18"/>
          <w:szCs w:val="18"/>
          <w:lang w:val="en-US"/>
        </w:rPr>
      </w:pPr>
    </w:p>
    <w:p w:rsidR="00916675" w:rsidRPr="00227C94" w:rsidRDefault="00916675" w:rsidP="005A3237">
      <w:pPr>
        <w:pStyle w:val="23"/>
        <w:rPr>
          <w:color w:val="auto"/>
          <w:lang w:val="en-US"/>
        </w:rPr>
      </w:pPr>
    </w:p>
    <w:p w:rsidR="005A3237" w:rsidRPr="00227C94" w:rsidRDefault="005A3237" w:rsidP="00916675">
      <w:pPr>
        <w:rPr>
          <w:highlight w:val="yellow"/>
        </w:rPr>
        <w:sectPr w:rsidR="005A3237" w:rsidRPr="00227C94" w:rsidSect="00A34AA8">
          <w:pgSz w:w="11906" w:h="16838"/>
          <w:pgMar w:top="720" w:right="1077" w:bottom="431" w:left="1417" w:header="709" w:footer="709" w:gutter="0"/>
          <w:cols w:space="708"/>
          <w:docGrid w:linePitch="360"/>
        </w:sectPr>
      </w:pPr>
    </w:p>
    <w:p w:rsidR="00700E3B" w:rsidRPr="00700E3B" w:rsidRDefault="00700E3B" w:rsidP="00700E3B">
      <w:pPr>
        <w:rPr>
          <w:rFonts w:ascii="Arial" w:hAnsi="Arial" w:cs="Arial"/>
          <w:b/>
          <w:sz w:val="20"/>
          <w:szCs w:val="20"/>
        </w:rPr>
      </w:pPr>
      <w:r w:rsidRPr="00700E3B">
        <w:rPr>
          <w:rFonts w:ascii="Arial" w:hAnsi="Arial" w:cs="Arial"/>
          <w:b/>
          <w:sz w:val="20"/>
          <w:szCs w:val="20"/>
        </w:rPr>
        <w:lastRenderedPageBreak/>
        <w:t>INDEPENDENT REVIEW REPORT TO POLYUS GOLD INTERNATIONAL LIMITED</w:t>
      </w:r>
    </w:p>
    <w:p w:rsidR="00700E3B" w:rsidRPr="00700E3B" w:rsidRDefault="00700E3B" w:rsidP="00700E3B">
      <w:pPr>
        <w:rPr>
          <w:rFonts w:ascii="Arial" w:hAnsi="Arial" w:cs="Arial"/>
          <w:sz w:val="20"/>
          <w:szCs w:val="20"/>
        </w:rPr>
      </w:pPr>
    </w:p>
    <w:p w:rsidR="00700E3B" w:rsidRPr="00700E3B" w:rsidRDefault="00700E3B" w:rsidP="00700E3B">
      <w:pPr>
        <w:rPr>
          <w:rFonts w:ascii="Arial" w:hAnsi="Arial" w:cs="Arial"/>
          <w:sz w:val="20"/>
          <w:szCs w:val="20"/>
        </w:rPr>
      </w:pPr>
      <w:r w:rsidRPr="00700E3B">
        <w:rPr>
          <w:rFonts w:ascii="Arial" w:hAnsi="Arial" w:cs="Arial"/>
          <w:sz w:val="20"/>
          <w:szCs w:val="20"/>
        </w:rPr>
        <w:t>We have been engaged by the Company to review the condensed set of consolidated interim financial statements in the half-yearly financial report for the six months ended 30 June 2012 which comprises the consolidated income statement, the consolidated statement of comprehensive income, the consolidated statement of financial position, the consolidated statement of changes in equity, the consolidated statement of cash flows and related notes 1 to 21. We have read the other information contained in the half-yearly financial report and considered whether it contains any apparent misstatements or material inconsistencies with the information in the condensed set of financial statements.</w:t>
      </w:r>
    </w:p>
    <w:p w:rsidR="00700E3B" w:rsidRPr="00700E3B" w:rsidRDefault="00700E3B" w:rsidP="00700E3B">
      <w:pPr>
        <w:rPr>
          <w:rFonts w:ascii="Arial" w:hAnsi="Arial" w:cs="Arial"/>
          <w:sz w:val="20"/>
          <w:szCs w:val="20"/>
        </w:rPr>
      </w:pPr>
    </w:p>
    <w:p w:rsidR="00700E3B" w:rsidRPr="00700E3B" w:rsidRDefault="00700E3B" w:rsidP="00700E3B">
      <w:pPr>
        <w:rPr>
          <w:rFonts w:ascii="Arial" w:hAnsi="Arial" w:cs="Arial"/>
          <w:sz w:val="20"/>
          <w:szCs w:val="20"/>
          <w:lang w:val="en-GB"/>
        </w:rPr>
      </w:pPr>
      <w:r w:rsidRPr="00700E3B">
        <w:rPr>
          <w:rFonts w:ascii="Arial" w:hAnsi="Arial" w:cs="Arial"/>
          <w:snapToGrid w:val="0"/>
          <w:sz w:val="20"/>
          <w:szCs w:val="20"/>
        </w:rPr>
        <w:t xml:space="preserve">This report is made solely to the Company in accordance with International Standard on Review Engagements (UK and Ireland) 2410 </w:t>
      </w:r>
      <w:r w:rsidRPr="00700E3B">
        <w:rPr>
          <w:rFonts w:ascii="Arial" w:hAnsi="Arial" w:cs="Arial"/>
          <w:sz w:val="20"/>
          <w:szCs w:val="20"/>
        </w:rPr>
        <w:t xml:space="preserve">“Review of Interim Financial Information Performed by the Independent Auditor of the Entity” </w:t>
      </w:r>
      <w:r w:rsidRPr="00700E3B">
        <w:rPr>
          <w:rFonts w:ascii="Arial" w:hAnsi="Arial" w:cs="Arial"/>
          <w:snapToGrid w:val="0"/>
          <w:sz w:val="20"/>
          <w:szCs w:val="20"/>
        </w:rPr>
        <w:t>issued by the Auditing Practices Board.  Our work has been undertaken so that we might state to the Company those matters we are required to state to it in an independent review report and for no other purpose. To the fullest extent permitted by law, we do not accept or assume responsibility to anyone other than the Company, for our review work, for this report, or for the conclusions we have formed.</w:t>
      </w:r>
    </w:p>
    <w:p w:rsidR="00700E3B" w:rsidRPr="00700E3B" w:rsidRDefault="00700E3B" w:rsidP="00700E3B">
      <w:pPr>
        <w:rPr>
          <w:rFonts w:ascii="Arial" w:hAnsi="Arial" w:cs="Arial"/>
          <w:sz w:val="20"/>
          <w:szCs w:val="20"/>
        </w:rPr>
      </w:pPr>
    </w:p>
    <w:p w:rsidR="00700E3B" w:rsidRPr="00700E3B" w:rsidRDefault="00700E3B" w:rsidP="00700E3B">
      <w:pPr>
        <w:rPr>
          <w:rFonts w:ascii="Arial" w:hAnsi="Arial" w:cs="Arial"/>
          <w:b/>
          <w:sz w:val="20"/>
          <w:szCs w:val="20"/>
        </w:rPr>
      </w:pPr>
      <w:r w:rsidRPr="00700E3B">
        <w:rPr>
          <w:rFonts w:ascii="Arial" w:hAnsi="Arial" w:cs="Arial"/>
          <w:b/>
          <w:sz w:val="20"/>
          <w:szCs w:val="20"/>
        </w:rPr>
        <w:t>Directors’ responsibilities</w:t>
      </w:r>
    </w:p>
    <w:p w:rsidR="00700E3B" w:rsidRPr="00700E3B" w:rsidRDefault="00700E3B" w:rsidP="00700E3B">
      <w:pPr>
        <w:rPr>
          <w:rFonts w:ascii="Arial" w:hAnsi="Arial" w:cs="Arial"/>
          <w:b/>
          <w:sz w:val="20"/>
          <w:szCs w:val="20"/>
        </w:rPr>
      </w:pPr>
    </w:p>
    <w:p w:rsidR="00700E3B" w:rsidRPr="00700E3B" w:rsidRDefault="00700E3B" w:rsidP="00700E3B">
      <w:pPr>
        <w:rPr>
          <w:rFonts w:ascii="Arial" w:hAnsi="Arial" w:cs="Arial"/>
          <w:sz w:val="20"/>
          <w:szCs w:val="20"/>
          <w:lang w:val="en-GB"/>
        </w:rPr>
      </w:pPr>
      <w:r w:rsidRPr="00700E3B">
        <w:rPr>
          <w:rFonts w:ascii="Arial" w:hAnsi="Arial" w:cs="Arial"/>
          <w:sz w:val="20"/>
          <w:szCs w:val="20"/>
        </w:rPr>
        <w:t>The half-yearly financial report is the responsibility of, and has been approved by, the directors.  The directors are responsible for preparing the half-yearly financial report in accordance with the Disclosure and Transparency Rules of the United Kingdom’s Financial Services Authority.</w:t>
      </w:r>
    </w:p>
    <w:p w:rsidR="00700E3B" w:rsidRPr="00700E3B" w:rsidRDefault="00700E3B" w:rsidP="00700E3B">
      <w:pPr>
        <w:rPr>
          <w:rFonts w:ascii="Arial" w:hAnsi="Arial" w:cs="Arial"/>
          <w:sz w:val="20"/>
          <w:szCs w:val="20"/>
        </w:rPr>
      </w:pPr>
    </w:p>
    <w:p w:rsidR="00700E3B" w:rsidRPr="00700E3B" w:rsidRDefault="00700E3B" w:rsidP="00700E3B">
      <w:pPr>
        <w:rPr>
          <w:rFonts w:ascii="Arial" w:hAnsi="Arial" w:cs="Arial"/>
          <w:sz w:val="20"/>
          <w:szCs w:val="20"/>
        </w:rPr>
      </w:pPr>
      <w:r w:rsidRPr="00700E3B">
        <w:rPr>
          <w:rFonts w:ascii="Arial" w:hAnsi="Arial" w:cs="Arial"/>
          <w:sz w:val="20"/>
          <w:szCs w:val="20"/>
        </w:rPr>
        <w:t>As disclosed in note 2, the annual financial statements of the Group are prepared in accordance with IFRSs as adopted by the European Union.  The condensed set of financial statements included in this half-yearly financial report has been prepared in accordance with International Accounting Standard 34, “Interim Financial Reporting,” as adopted by the European Union.</w:t>
      </w:r>
    </w:p>
    <w:p w:rsidR="00700E3B" w:rsidRPr="00700E3B" w:rsidRDefault="00700E3B" w:rsidP="00700E3B">
      <w:pPr>
        <w:rPr>
          <w:rFonts w:ascii="Arial" w:hAnsi="Arial" w:cs="Arial"/>
          <w:sz w:val="20"/>
          <w:szCs w:val="20"/>
        </w:rPr>
      </w:pPr>
    </w:p>
    <w:p w:rsidR="00700E3B" w:rsidRPr="00700E3B" w:rsidRDefault="00700E3B" w:rsidP="00700E3B">
      <w:pPr>
        <w:rPr>
          <w:rFonts w:ascii="Arial" w:hAnsi="Arial" w:cs="Arial"/>
          <w:b/>
          <w:sz w:val="20"/>
          <w:szCs w:val="20"/>
        </w:rPr>
      </w:pPr>
      <w:r w:rsidRPr="00700E3B">
        <w:rPr>
          <w:rFonts w:ascii="Arial" w:hAnsi="Arial" w:cs="Arial"/>
          <w:b/>
          <w:sz w:val="20"/>
          <w:szCs w:val="20"/>
        </w:rPr>
        <w:t>Our responsibility</w:t>
      </w:r>
    </w:p>
    <w:p w:rsidR="00700E3B" w:rsidRPr="00700E3B" w:rsidRDefault="00700E3B" w:rsidP="00700E3B">
      <w:pPr>
        <w:rPr>
          <w:rFonts w:ascii="Arial" w:hAnsi="Arial" w:cs="Arial"/>
          <w:sz w:val="20"/>
          <w:szCs w:val="20"/>
        </w:rPr>
      </w:pPr>
    </w:p>
    <w:p w:rsidR="00700E3B" w:rsidRPr="00700E3B" w:rsidRDefault="00700E3B" w:rsidP="00700E3B">
      <w:pPr>
        <w:rPr>
          <w:rFonts w:ascii="Arial" w:hAnsi="Arial" w:cs="Arial"/>
          <w:sz w:val="20"/>
          <w:szCs w:val="20"/>
        </w:rPr>
      </w:pPr>
      <w:r w:rsidRPr="00700E3B">
        <w:rPr>
          <w:rFonts w:ascii="Arial" w:hAnsi="Arial" w:cs="Arial"/>
          <w:sz w:val="20"/>
          <w:szCs w:val="20"/>
        </w:rPr>
        <w:t>Our responsibility is to express to the Company a conclusion on the condensed set of financial statements in the half-yearly financial report based on our review.</w:t>
      </w:r>
    </w:p>
    <w:p w:rsidR="00700E3B" w:rsidRPr="00700E3B" w:rsidRDefault="00700E3B" w:rsidP="00700E3B">
      <w:pPr>
        <w:rPr>
          <w:rFonts w:ascii="Arial" w:hAnsi="Arial" w:cs="Arial"/>
          <w:sz w:val="20"/>
          <w:szCs w:val="20"/>
        </w:rPr>
      </w:pPr>
    </w:p>
    <w:p w:rsidR="00700E3B" w:rsidRPr="00700E3B" w:rsidRDefault="00700E3B" w:rsidP="00700E3B">
      <w:pPr>
        <w:rPr>
          <w:rFonts w:ascii="Arial" w:hAnsi="Arial" w:cs="Arial"/>
          <w:b/>
          <w:sz w:val="20"/>
          <w:szCs w:val="20"/>
        </w:rPr>
      </w:pPr>
      <w:r w:rsidRPr="00700E3B">
        <w:rPr>
          <w:rFonts w:ascii="Arial" w:hAnsi="Arial" w:cs="Arial"/>
          <w:b/>
          <w:sz w:val="20"/>
          <w:szCs w:val="20"/>
        </w:rPr>
        <w:t xml:space="preserve">Scope of review </w:t>
      </w:r>
    </w:p>
    <w:p w:rsidR="00700E3B" w:rsidRPr="00700E3B" w:rsidRDefault="00700E3B" w:rsidP="00700E3B">
      <w:pPr>
        <w:rPr>
          <w:rFonts w:ascii="Arial" w:hAnsi="Arial" w:cs="Arial"/>
          <w:sz w:val="20"/>
          <w:szCs w:val="20"/>
        </w:rPr>
      </w:pPr>
    </w:p>
    <w:p w:rsidR="00700E3B" w:rsidRPr="00700E3B" w:rsidRDefault="00700E3B" w:rsidP="00700E3B">
      <w:pPr>
        <w:rPr>
          <w:rFonts w:ascii="Arial" w:hAnsi="Arial" w:cs="Arial"/>
          <w:sz w:val="20"/>
          <w:szCs w:val="20"/>
        </w:rPr>
      </w:pPr>
      <w:r w:rsidRPr="00700E3B">
        <w:rPr>
          <w:rFonts w:ascii="Arial" w:hAnsi="Arial" w:cs="Arial"/>
          <w:sz w:val="20"/>
          <w:szCs w:val="20"/>
        </w:rPr>
        <w:t>We conducted our review in accordance with International Standard on Review Engagements (UK and Ireland) 2410 “Review of Interim Financial Information Performed by the Independent Auditor of the Entity” issued by the Auditing Practices Board for use in the United Kingdom. A review of interim financial information consists of making inquiries, primarily of persons responsible for financial and accounting matters, and applying analytical and other review procedures. A review is substantially less in scope than an audit conducted in accordance with International Standards on Auditing (UK and Ireland) and consequently does not enable us to obtain assurance that we would become aware of all significant matters that might be identified in an audit. Accordingly, we do not express an audit opinion.</w:t>
      </w:r>
    </w:p>
    <w:p w:rsidR="00700E3B" w:rsidRPr="00700E3B" w:rsidRDefault="00700E3B" w:rsidP="00700E3B">
      <w:pPr>
        <w:rPr>
          <w:rFonts w:ascii="Arial" w:hAnsi="Arial" w:cs="Arial"/>
          <w:b/>
          <w:sz w:val="20"/>
          <w:szCs w:val="20"/>
        </w:rPr>
      </w:pPr>
    </w:p>
    <w:p w:rsidR="00700E3B" w:rsidRPr="00700E3B" w:rsidRDefault="00700E3B" w:rsidP="00700E3B">
      <w:pPr>
        <w:rPr>
          <w:rFonts w:ascii="Arial" w:hAnsi="Arial" w:cs="Arial"/>
          <w:b/>
          <w:sz w:val="20"/>
          <w:szCs w:val="20"/>
        </w:rPr>
      </w:pPr>
      <w:r w:rsidRPr="00700E3B">
        <w:rPr>
          <w:rFonts w:ascii="Arial" w:hAnsi="Arial" w:cs="Arial"/>
          <w:b/>
          <w:sz w:val="20"/>
          <w:szCs w:val="20"/>
        </w:rPr>
        <w:t>Conclusion</w:t>
      </w:r>
    </w:p>
    <w:p w:rsidR="00700E3B" w:rsidRPr="00700E3B" w:rsidRDefault="00700E3B" w:rsidP="00700E3B">
      <w:pPr>
        <w:rPr>
          <w:rFonts w:ascii="Arial" w:hAnsi="Arial" w:cs="Arial"/>
          <w:sz w:val="20"/>
          <w:szCs w:val="20"/>
        </w:rPr>
      </w:pPr>
    </w:p>
    <w:p w:rsidR="00700E3B" w:rsidRPr="00700E3B" w:rsidRDefault="00700E3B" w:rsidP="00700E3B">
      <w:pPr>
        <w:rPr>
          <w:rFonts w:ascii="Arial" w:hAnsi="Arial" w:cs="Arial"/>
          <w:sz w:val="20"/>
          <w:szCs w:val="20"/>
        </w:rPr>
      </w:pPr>
      <w:r w:rsidRPr="00700E3B">
        <w:rPr>
          <w:rFonts w:ascii="Arial" w:hAnsi="Arial" w:cs="Arial"/>
          <w:sz w:val="20"/>
          <w:szCs w:val="20"/>
        </w:rPr>
        <w:t>Based on our review, nothing has come to our attention that causes us to believe that the condensed set of financial statements in the half-yearly financial report for the six months ended 30 June 2012 is not prepared, in all material respects, in accordance with International Accounting Standard 34 as adopted by the European Union and the Disclosure and Transparency Rules of the United Kingdom’s Financial Services Authority.</w:t>
      </w:r>
    </w:p>
    <w:p w:rsidR="00700E3B" w:rsidRPr="00700E3B" w:rsidRDefault="00700E3B" w:rsidP="00700E3B">
      <w:pPr>
        <w:rPr>
          <w:rFonts w:ascii="Arial" w:hAnsi="Arial" w:cs="Arial"/>
          <w:sz w:val="20"/>
          <w:szCs w:val="20"/>
        </w:rPr>
      </w:pPr>
    </w:p>
    <w:p w:rsidR="00700E3B" w:rsidRPr="00700E3B" w:rsidRDefault="00700E3B" w:rsidP="00700E3B">
      <w:pPr>
        <w:rPr>
          <w:rFonts w:ascii="Arial" w:hAnsi="Arial" w:cs="Arial"/>
          <w:sz w:val="20"/>
          <w:szCs w:val="20"/>
        </w:rPr>
      </w:pPr>
    </w:p>
    <w:p w:rsidR="00700E3B" w:rsidRPr="00700E3B" w:rsidRDefault="00700E3B" w:rsidP="00700E3B">
      <w:pPr>
        <w:rPr>
          <w:rFonts w:ascii="Arial" w:hAnsi="Arial" w:cs="Arial"/>
          <w:b/>
          <w:sz w:val="20"/>
          <w:szCs w:val="20"/>
        </w:rPr>
      </w:pPr>
      <w:r w:rsidRPr="00700E3B">
        <w:rPr>
          <w:rFonts w:ascii="Arial" w:hAnsi="Arial" w:cs="Arial"/>
          <w:b/>
          <w:sz w:val="20"/>
          <w:szCs w:val="20"/>
        </w:rPr>
        <w:t>Deloitte LLP</w:t>
      </w:r>
    </w:p>
    <w:p w:rsidR="00700E3B" w:rsidRPr="00700E3B" w:rsidRDefault="00700E3B" w:rsidP="00700E3B">
      <w:pPr>
        <w:rPr>
          <w:rFonts w:ascii="Arial" w:hAnsi="Arial" w:cs="Arial"/>
          <w:sz w:val="20"/>
          <w:szCs w:val="20"/>
        </w:rPr>
      </w:pPr>
      <w:r w:rsidRPr="00700E3B">
        <w:rPr>
          <w:rFonts w:ascii="Arial" w:hAnsi="Arial" w:cs="Arial"/>
          <w:sz w:val="20"/>
          <w:szCs w:val="20"/>
        </w:rPr>
        <w:t>Chartered Accountants and Statutory Auditor</w:t>
      </w:r>
    </w:p>
    <w:p w:rsidR="00700E3B" w:rsidRPr="00700E3B" w:rsidRDefault="00700E3B" w:rsidP="00700E3B">
      <w:pPr>
        <w:rPr>
          <w:rFonts w:ascii="Arial" w:hAnsi="Arial" w:cs="Arial"/>
          <w:sz w:val="20"/>
          <w:szCs w:val="20"/>
        </w:rPr>
      </w:pPr>
      <w:r w:rsidRPr="00700E3B">
        <w:rPr>
          <w:rFonts w:ascii="Arial" w:hAnsi="Arial" w:cs="Arial"/>
          <w:sz w:val="20"/>
          <w:szCs w:val="20"/>
        </w:rPr>
        <w:t>London, United Kingdom</w:t>
      </w:r>
    </w:p>
    <w:p w:rsidR="00700E3B" w:rsidRPr="00700E3B" w:rsidRDefault="00700E3B" w:rsidP="00700E3B">
      <w:pPr>
        <w:rPr>
          <w:rFonts w:ascii="Arial" w:hAnsi="Arial" w:cs="Arial"/>
          <w:sz w:val="20"/>
          <w:szCs w:val="20"/>
        </w:rPr>
      </w:pPr>
    </w:p>
    <w:p w:rsidR="00700E3B" w:rsidRPr="00700E3B" w:rsidRDefault="00700E3B" w:rsidP="00700E3B">
      <w:pPr>
        <w:rPr>
          <w:rFonts w:ascii="Arial" w:hAnsi="Arial" w:cs="Arial"/>
          <w:sz w:val="20"/>
          <w:szCs w:val="20"/>
        </w:rPr>
      </w:pPr>
      <w:r w:rsidRPr="00700E3B">
        <w:rPr>
          <w:rFonts w:ascii="Arial" w:hAnsi="Arial" w:cs="Arial"/>
          <w:sz w:val="20"/>
          <w:szCs w:val="20"/>
        </w:rPr>
        <w:t>29 August 2012</w:t>
      </w:r>
    </w:p>
    <w:p w:rsidR="005A3237" w:rsidRPr="00227C94" w:rsidRDefault="005A3237" w:rsidP="00916675">
      <w:pPr>
        <w:sectPr w:rsidR="005A3237" w:rsidRPr="00227C94" w:rsidSect="00B71A14">
          <w:pgSz w:w="11906" w:h="16838"/>
          <w:pgMar w:top="1077" w:right="1133" w:bottom="2041" w:left="1417" w:header="720" w:footer="720" w:gutter="0"/>
          <w:cols w:space="708"/>
          <w:docGrid w:linePitch="360"/>
        </w:sectPr>
      </w:pPr>
    </w:p>
    <w:p w:rsidR="00916675" w:rsidRPr="00227C94" w:rsidRDefault="00916675" w:rsidP="000572BE">
      <w:pPr>
        <w:pStyle w:val="ZX1CompanyName12"/>
        <w:rPr>
          <w:lang w:val="en-US"/>
        </w:rPr>
      </w:pPr>
      <w:r w:rsidRPr="00227C94">
        <w:rPr>
          <w:lang w:val="en-US"/>
        </w:rPr>
        <w:lastRenderedPageBreak/>
        <w:t>POLYUS GOLD International Limited</w:t>
      </w:r>
    </w:p>
    <w:p w:rsidR="00916675" w:rsidRPr="00227C94" w:rsidRDefault="00916675" w:rsidP="000572BE">
      <w:pPr>
        <w:pStyle w:val="ZX1CompanyName12"/>
        <w:rPr>
          <w:lang w:val="en-US"/>
        </w:rPr>
      </w:pPr>
    </w:p>
    <w:p w:rsidR="00916675" w:rsidRPr="00227C94" w:rsidRDefault="00916675" w:rsidP="000572BE">
      <w:pPr>
        <w:pStyle w:val="ZX2Subhead"/>
        <w:rPr>
          <w:lang w:val="en-US"/>
        </w:rPr>
      </w:pPr>
      <w:r w:rsidRPr="00227C94">
        <w:rPr>
          <w:lang w:val="en-US"/>
        </w:rPr>
        <w:t>condensed CONSOLIDATED interim INCOME STATEMENT</w:t>
      </w:r>
    </w:p>
    <w:p w:rsidR="00916675" w:rsidRPr="00227C94" w:rsidRDefault="00916675" w:rsidP="000572BE">
      <w:pPr>
        <w:pStyle w:val="ZX2Subhead"/>
        <w:rPr>
          <w:lang w:val="en-US"/>
        </w:rPr>
      </w:pPr>
      <w:r w:rsidRPr="00227C94">
        <w:rPr>
          <w:lang w:val="en-US"/>
        </w:rPr>
        <w:t>FOR the six months ended 30 June 2012</w:t>
      </w:r>
    </w:p>
    <w:p w:rsidR="00916675" w:rsidRPr="00227C94" w:rsidRDefault="00916675" w:rsidP="000572BE">
      <w:pPr>
        <w:pStyle w:val="ZX3Currency"/>
        <w:rPr>
          <w:lang w:val="en-US"/>
        </w:rPr>
      </w:pPr>
      <w:r w:rsidRPr="00227C94">
        <w:rPr>
          <w:lang w:val="en-US"/>
        </w:rPr>
        <w:t>(</w:t>
      </w:r>
      <w:proofErr w:type="gramStart"/>
      <w:r w:rsidRPr="00227C94">
        <w:rPr>
          <w:lang w:val="en-US"/>
        </w:rPr>
        <w:t>in</w:t>
      </w:r>
      <w:proofErr w:type="gramEnd"/>
      <w:r w:rsidRPr="00227C94">
        <w:rPr>
          <w:lang w:val="en-US"/>
        </w:rPr>
        <w:t xml:space="preserve"> thousands of US Dollars, except for earnings per share and number of shares data)</w:t>
      </w:r>
    </w:p>
    <w:p w:rsidR="00916675" w:rsidRPr="00227C94" w:rsidRDefault="00916675" w:rsidP="000572BE">
      <w:pPr>
        <w:pStyle w:val="a4"/>
        <w:rPr>
          <w:lang w:val="en-US"/>
        </w:rPr>
      </w:pPr>
    </w:p>
    <w:tbl>
      <w:tblPr>
        <w:tblW w:w="9412" w:type="dxa"/>
        <w:tblBorders>
          <w:bottom w:val="single" w:sz="4" w:space="0" w:color="auto"/>
        </w:tblBorders>
        <w:tblLayout w:type="fixed"/>
        <w:tblCellMar>
          <w:left w:w="0" w:type="dxa"/>
          <w:right w:w="0" w:type="dxa"/>
        </w:tblCellMar>
        <w:tblLook w:val="0000" w:firstRow="0" w:lastRow="0" w:firstColumn="0" w:lastColumn="0" w:noHBand="0" w:noVBand="0"/>
      </w:tblPr>
      <w:tblGrid>
        <w:gridCol w:w="3802"/>
        <w:gridCol w:w="793"/>
        <w:gridCol w:w="1417"/>
        <w:gridCol w:w="283"/>
        <w:gridCol w:w="1417"/>
        <w:gridCol w:w="283"/>
        <w:gridCol w:w="1417"/>
      </w:tblGrid>
      <w:tr w:rsidR="00916675" w:rsidRPr="00227C94" w:rsidTr="00A701F4">
        <w:trPr>
          <w:cantSplit/>
        </w:trPr>
        <w:tc>
          <w:tcPr>
            <w:tcW w:w="3802" w:type="dxa"/>
            <w:vAlign w:val="bottom"/>
          </w:tcPr>
          <w:p w:rsidR="00916675" w:rsidRPr="00227C94" w:rsidRDefault="00916675" w:rsidP="000572BE">
            <w:pPr>
              <w:pStyle w:val="tblHeaderText"/>
              <w:jc w:val="left"/>
              <w:rPr>
                <w:lang w:val="en-US"/>
              </w:rPr>
            </w:pPr>
          </w:p>
        </w:tc>
        <w:tc>
          <w:tcPr>
            <w:tcW w:w="793" w:type="dxa"/>
            <w:vAlign w:val="bottom"/>
          </w:tcPr>
          <w:p w:rsidR="00916675" w:rsidRPr="00227C94" w:rsidRDefault="00916675" w:rsidP="000572BE">
            <w:pPr>
              <w:pStyle w:val="tblHeaderText"/>
            </w:pPr>
            <w:r w:rsidRPr="00227C94">
              <w:t>Notes</w:t>
            </w:r>
          </w:p>
        </w:tc>
        <w:tc>
          <w:tcPr>
            <w:tcW w:w="1417" w:type="dxa"/>
            <w:tcBorders>
              <w:top w:val="single" w:sz="6" w:space="0" w:color="auto"/>
              <w:bottom w:val="single" w:sz="6" w:space="0" w:color="auto"/>
            </w:tcBorders>
            <w:shd w:val="clear" w:color="auto" w:fill="auto"/>
            <w:vAlign w:val="bottom"/>
          </w:tcPr>
          <w:p w:rsidR="0080532B" w:rsidRPr="00227C94" w:rsidRDefault="00916675" w:rsidP="000572BE">
            <w:pPr>
              <w:pStyle w:val="tblHeaderText"/>
              <w:rPr>
                <w:lang w:val="en-US"/>
              </w:rPr>
            </w:pPr>
            <w:r w:rsidRPr="00227C94">
              <w:rPr>
                <w:lang w:val="en-US"/>
              </w:rPr>
              <w:t xml:space="preserve">Six months ended 30 June </w:t>
            </w:r>
          </w:p>
          <w:p w:rsidR="00916675" w:rsidRPr="00227C94" w:rsidRDefault="00916675" w:rsidP="000572BE">
            <w:pPr>
              <w:pStyle w:val="tblHeaderText"/>
              <w:rPr>
                <w:lang w:val="en-US"/>
              </w:rPr>
            </w:pPr>
            <w:r w:rsidRPr="00227C94">
              <w:rPr>
                <w:lang w:val="en-US"/>
              </w:rPr>
              <w:t>2012</w:t>
            </w:r>
          </w:p>
          <w:p w:rsidR="00916675" w:rsidRPr="00227C94" w:rsidRDefault="00916675" w:rsidP="000572BE">
            <w:pPr>
              <w:pStyle w:val="tblHeaderText"/>
              <w:rPr>
                <w:lang w:val="en-US"/>
              </w:rPr>
            </w:pPr>
            <w:r w:rsidRPr="00227C94">
              <w:rPr>
                <w:lang w:val="en-US"/>
              </w:rPr>
              <w:t>(unaudited)</w:t>
            </w:r>
          </w:p>
        </w:tc>
        <w:tc>
          <w:tcPr>
            <w:tcW w:w="283" w:type="dxa"/>
            <w:tcBorders>
              <w:top w:val="single" w:sz="6" w:space="0" w:color="auto"/>
              <w:bottom w:val="nil"/>
            </w:tcBorders>
            <w:shd w:val="clear" w:color="auto" w:fill="auto"/>
          </w:tcPr>
          <w:p w:rsidR="00916675" w:rsidRPr="00227C94" w:rsidRDefault="00916675" w:rsidP="000572BE">
            <w:pPr>
              <w:pStyle w:val="tblHeaderText"/>
              <w:rPr>
                <w:lang w:val="en-US"/>
              </w:rPr>
            </w:pPr>
          </w:p>
        </w:tc>
        <w:tc>
          <w:tcPr>
            <w:tcW w:w="1417" w:type="dxa"/>
            <w:tcBorders>
              <w:top w:val="single" w:sz="6" w:space="0" w:color="auto"/>
              <w:bottom w:val="single" w:sz="6" w:space="0" w:color="auto"/>
            </w:tcBorders>
            <w:shd w:val="clear" w:color="auto" w:fill="auto"/>
            <w:vAlign w:val="bottom"/>
          </w:tcPr>
          <w:p w:rsidR="0080532B" w:rsidRPr="00227C94" w:rsidRDefault="00916675" w:rsidP="000572BE">
            <w:pPr>
              <w:pStyle w:val="tblHeaderText"/>
              <w:rPr>
                <w:lang w:val="en-US"/>
              </w:rPr>
            </w:pPr>
            <w:r w:rsidRPr="00227C94">
              <w:rPr>
                <w:lang w:val="en-US"/>
              </w:rPr>
              <w:t xml:space="preserve">Six months ended 30 June </w:t>
            </w:r>
          </w:p>
          <w:p w:rsidR="00916675" w:rsidRPr="00227C94" w:rsidRDefault="00916675" w:rsidP="000572BE">
            <w:pPr>
              <w:pStyle w:val="tblHeaderText"/>
              <w:rPr>
                <w:lang w:val="en-US"/>
              </w:rPr>
            </w:pPr>
            <w:r w:rsidRPr="00227C94">
              <w:rPr>
                <w:lang w:val="en-US"/>
              </w:rPr>
              <w:t>2011</w:t>
            </w:r>
          </w:p>
          <w:p w:rsidR="00916675" w:rsidRPr="00227C94" w:rsidRDefault="00916675" w:rsidP="000572BE">
            <w:pPr>
              <w:pStyle w:val="tblHeaderText"/>
              <w:rPr>
                <w:lang w:val="en-US"/>
              </w:rPr>
            </w:pPr>
            <w:r w:rsidRPr="00227C94">
              <w:rPr>
                <w:lang w:val="en-US"/>
              </w:rPr>
              <w:t>(unaudited)</w:t>
            </w:r>
          </w:p>
        </w:tc>
        <w:tc>
          <w:tcPr>
            <w:tcW w:w="283" w:type="dxa"/>
            <w:tcBorders>
              <w:top w:val="single" w:sz="6" w:space="0" w:color="auto"/>
              <w:bottom w:val="nil"/>
            </w:tcBorders>
            <w:shd w:val="clear" w:color="auto" w:fill="auto"/>
            <w:vAlign w:val="bottom"/>
          </w:tcPr>
          <w:p w:rsidR="00916675" w:rsidRPr="00227C94" w:rsidRDefault="00916675" w:rsidP="000572BE">
            <w:pPr>
              <w:pStyle w:val="tblHeaderText"/>
              <w:rPr>
                <w:lang w:val="en-US"/>
              </w:rPr>
            </w:pPr>
          </w:p>
        </w:tc>
        <w:tc>
          <w:tcPr>
            <w:tcW w:w="1417" w:type="dxa"/>
            <w:tcBorders>
              <w:top w:val="single" w:sz="6" w:space="0" w:color="auto"/>
              <w:bottom w:val="single" w:sz="6" w:space="0" w:color="auto"/>
            </w:tcBorders>
            <w:shd w:val="clear" w:color="auto" w:fill="auto"/>
            <w:vAlign w:val="bottom"/>
          </w:tcPr>
          <w:p w:rsidR="00916675" w:rsidRPr="00227C94" w:rsidRDefault="00916675" w:rsidP="000572BE">
            <w:pPr>
              <w:pStyle w:val="tblHeaderText"/>
            </w:pPr>
            <w:r w:rsidRPr="00227C94">
              <w:t>Year ended</w:t>
            </w:r>
          </w:p>
          <w:p w:rsidR="00916675" w:rsidRPr="00227C94" w:rsidRDefault="00916675" w:rsidP="000572BE">
            <w:pPr>
              <w:pStyle w:val="tblHeaderText"/>
            </w:pPr>
            <w:r w:rsidRPr="00227C94">
              <w:t>31 December 2011</w:t>
            </w:r>
          </w:p>
          <w:p w:rsidR="00916675" w:rsidRPr="00227C94" w:rsidRDefault="00916675" w:rsidP="000572BE">
            <w:pPr>
              <w:pStyle w:val="tblHeaderText"/>
            </w:pPr>
            <w:r w:rsidRPr="00227C94">
              <w:t>(audited)</w:t>
            </w:r>
          </w:p>
        </w:tc>
      </w:tr>
      <w:tr w:rsidR="00916675" w:rsidRPr="00227C94" w:rsidTr="000572BE">
        <w:trPr>
          <w:cantSplit/>
        </w:trPr>
        <w:tc>
          <w:tcPr>
            <w:tcW w:w="3802" w:type="dxa"/>
            <w:vAlign w:val="bottom"/>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c>
          <w:tcPr>
            <w:tcW w:w="283" w:type="dxa"/>
            <w:tcBorders>
              <w:top w:val="nil"/>
            </w:tcBorders>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c>
          <w:tcPr>
            <w:tcW w:w="283" w:type="dxa"/>
            <w:tcBorders>
              <w:top w:val="nil"/>
            </w:tcBorders>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r>
      <w:tr w:rsidR="00916675" w:rsidRPr="00227C94" w:rsidTr="00A701F4">
        <w:trPr>
          <w:cantSplit/>
        </w:trPr>
        <w:tc>
          <w:tcPr>
            <w:tcW w:w="3802" w:type="dxa"/>
          </w:tcPr>
          <w:p w:rsidR="00916675" w:rsidRPr="00227C94" w:rsidRDefault="00916675" w:rsidP="000572BE">
            <w:pPr>
              <w:pStyle w:val="tblText05"/>
              <w:ind w:left="113"/>
            </w:pPr>
            <w:r w:rsidRPr="00227C94">
              <w:t>Gold sales</w:t>
            </w:r>
          </w:p>
        </w:tc>
        <w:tc>
          <w:tcPr>
            <w:tcW w:w="793" w:type="dxa"/>
            <w:vAlign w:val="bottom"/>
          </w:tcPr>
          <w:p w:rsidR="00916675" w:rsidRPr="00227C94" w:rsidRDefault="00916675" w:rsidP="000572BE">
            <w:pPr>
              <w:pStyle w:val="tblNumber01"/>
              <w:jc w:val="center"/>
            </w:pPr>
            <w:r w:rsidRPr="00227C94">
              <w:t>5</w:t>
            </w:r>
          </w:p>
        </w:tc>
        <w:tc>
          <w:tcPr>
            <w:tcW w:w="1417" w:type="dxa"/>
            <w:tcBorders>
              <w:top w:val="nil"/>
              <w:bottom w:val="nil"/>
            </w:tcBorders>
            <w:vAlign w:val="bottom"/>
          </w:tcPr>
          <w:p w:rsidR="00916675" w:rsidRPr="00227C94" w:rsidRDefault="00916675" w:rsidP="000572BE">
            <w:pPr>
              <w:pStyle w:val="tblNumber01"/>
            </w:pPr>
            <w:r w:rsidRPr="00227C94">
              <w:t>1,223,866</w:t>
            </w:r>
          </w:p>
        </w:tc>
        <w:tc>
          <w:tcPr>
            <w:tcW w:w="283" w:type="dxa"/>
            <w:vAlign w:val="bottom"/>
          </w:tcPr>
          <w:p w:rsidR="00916675" w:rsidRPr="00227C94" w:rsidRDefault="00916675" w:rsidP="000572BE">
            <w:pPr>
              <w:pStyle w:val="tblNumber01"/>
            </w:pPr>
          </w:p>
        </w:tc>
        <w:tc>
          <w:tcPr>
            <w:tcW w:w="1417" w:type="dxa"/>
            <w:tcBorders>
              <w:top w:val="nil"/>
              <w:bottom w:val="nil"/>
            </w:tcBorders>
            <w:vAlign w:val="bottom"/>
          </w:tcPr>
          <w:p w:rsidR="00916675" w:rsidRPr="00227C94" w:rsidRDefault="00916675" w:rsidP="000572BE">
            <w:pPr>
              <w:pStyle w:val="tblNumber01"/>
            </w:pPr>
            <w:r w:rsidRPr="00227C94">
              <w:t>901,752</w:t>
            </w:r>
          </w:p>
        </w:tc>
        <w:tc>
          <w:tcPr>
            <w:tcW w:w="283" w:type="dxa"/>
            <w:vAlign w:val="bottom"/>
          </w:tcPr>
          <w:p w:rsidR="00916675" w:rsidRPr="00227C94" w:rsidRDefault="00916675" w:rsidP="000572BE">
            <w:pPr>
              <w:pStyle w:val="tblNumber01"/>
            </w:pPr>
          </w:p>
        </w:tc>
        <w:tc>
          <w:tcPr>
            <w:tcW w:w="1417" w:type="dxa"/>
            <w:tcBorders>
              <w:top w:val="nil"/>
              <w:bottom w:val="nil"/>
            </w:tcBorders>
            <w:vAlign w:val="bottom"/>
          </w:tcPr>
          <w:p w:rsidR="00916675" w:rsidRPr="00227C94" w:rsidRDefault="00916675" w:rsidP="000572BE">
            <w:pPr>
              <w:pStyle w:val="tblNumber01"/>
            </w:pPr>
            <w:r w:rsidRPr="00227C94">
              <w:t>2,340,650</w:t>
            </w:r>
          </w:p>
        </w:tc>
      </w:tr>
      <w:tr w:rsidR="00916675" w:rsidRPr="00227C94" w:rsidTr="00A701F4">
        <w:trPr>
          <w:cantSplit/>
        </w:trPr>
        <w:tc>
          <w:tcPr>
            <w:tcW w:w="3802" w:type="dxa"/>
          </w:tcPr>
          <w:p w:rsidR="00916675" w:rsidRPr="00227C94" w:rsidRDefault="00916675" w:rsidP="000572BE">
            <w:pPr>
              <w:pStyle w:val="tblText05"/>
              <w:ind w:left="113"/>
            </w:pPr>
            <w:r w:rsidRPr="00227C94">
              <w:t>Other sales</w:t>
            </w: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29,054</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29,007</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62,060</w:t>
            </w:r>
          </w:p>
        </w:tc>
      </w:tr>
      <w:tr w:rsidR="00916675" w:rsidRPr="00227C94" w:rsidTr="000572BE">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5"/>
              <w:ind w:left="113"/>
              <w:rPr>
                <w:b/>
              </w:rPr>
            </w:pPr>
            <w:r w:rsidRPr="00227C94">
              <w:rPr>
                <w:b/>
              </w:rPr>
              <w:t>Total revenue</w:t>
            </w:r>
          </w:p>
        </w:tc>
        <w:tc>
          <w:tcPr>
            <w:tcW w:w="793" w:type="dxa"/>
            <w:vAlign w:val="bottom"/>
          </w:tcPr>
          <w:p w:rsidR="00916675" w:rsidRPr="00227C94" w:rsidRDefault="00916675" w:rsidP="000572BE">
            <w:pPr>
              <w:pStyle w:val="tblNumber01"/>
            </w:pPr>
          </w:p>
        </w:tc>
        <w:tc>
          <w:tcPr>
            <w:tcW w:w="1417" w:type="dxa"/>
            <w:tcBorders>
              <w:top w:val="nil"/>
            </w:tcBorders>
            <w:vAlign w:val="bottom"/>
          </w:tcPr>
          <w:p w:rsidR="00916675" w:rsidRPr="00227C94" w:rsidRDefault="00916675" w:rsidP="000572BE">
            <w:pPr>
              <w:pStyle w:val="tblNumber01"/>
              <w:rPr>
                <w:b/>
              </w:rPr>
            </w:pPr>
            <w:r w:rsidRPr="00227C94">
              <w:rPr>
                <w:b/>
              </w:rPr>
              <w:t>1,252,920</w:t>
            </w:r>
          </w:p>
        </w:tc>
        <w:tc>
          <w:tcPr>
            <w:tcW w:w="283" w:type="dxa"/>
            <w:vAlign w:val="bottom"/>
          </w:tcPr>
          <w:p w:rsidR="00916675" w:rsidRPr="00227C94" w:rsidRDefault="00916675" w:rsidP="000572BE">
            <w:pPr>
              <w:pStyle w:val="tblNumber01"/>
            </w:pPr>
          </w:p>
        </w:tc>
        <w:tc>
          <w:tcPr>
            <w:tcW w:w="1417" w:type="dxa"/>
            <w:tcBorders>
              <w:top w:val="nil"/>
            </w:tcBorders>
            <w:vAlign w:val="bottom"/>
          </w:tcPr>
          <w:p w:rsidR="00916675" w:rsidRPr="00227C94" w:rsidRDefault="00916675" w:rsidP="000572BE">
            <w:pPr>
              <w:pStyle w:val="tblNumber01"/>
              <w:rPr>
                <w:b/>
              </w:rPr>
            </w:pPr>
            <w:r w:rsidRPr="00227C94">
              <w:rPr>
                <w:b/>
              </w:rPr>
              <w:t>930,759</w:t>
            </w:r>
          </w:p>
        </w:tc>
        <w:tc>
          <w:tcPr>
            <w:tcW w:w="283" w:type="dxa"/>
            <w:vAlign w:val="bottom"/>
          </w:tcPr>
          <w:p w:rsidR="00916675" w:rsidRPr="00227C94" w:rsidRDefault="00916675" w:rsidP="000572BE">
            <w:pPr>
              <w:pStyle w:val="tblNumber01"/>
            </w:pPr>
          </w:p>
        </w:tc>
        <w:tc>
          <w:tcPr>
            <w:tcW w:w="1417" w:type="dxa"/>
            <w:tcBorders>
              <w:top w:val="nil"/>
            </w:tcBorders>
            <w:vAlign w:val="bottom"/>
          </w:tcPr>
          <w:p w:rsidR="00916675" w:rsidRPr="00227C94" w:rsidRDefault="00916675" w:rsidP="000572BE">
            <w:pPr>
              <w:pStyle w:val="tblNumber01"/>
              <w:rPr>
                <w:b/>
              </w:rPr>
            </w:pPr>
            <w:r w:rsidRPr="00227C94">
              <w:rPr>
                <w:b/>
              </w:rPr>
              <w:t>2,402,710</w:t>
            </w:r>
          </w:p>
        </w:tc>
      </w:tr>
      <w:tr w:rsidR="00916675" w:rsidRPr="00227C94" w:rsidTr="000572BE">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A701F4">
        <w:trPr>
          <w:cantSplit/>
        </w:trPr>
        <w:tc>
          <w:tcPr>
            <w:tcW w:w="3802" w:type="dxa"/>
          </w:tcPr>
          <w:p w:rsidR="00916675" w:rsidRPr="00227C94" w:rsidRDefault="00916675" w:rsidP="000572BE">
            <w:pPr>
              <w:pStyle w:val="tblText05"/>
              <w:ind w:left="113"/>
            </w:pPr>
            <w:r w:rsidRPr="00227C94">
              <w:t>Cost of gold sales</w:t>
            </w:r>
          </w:p>
        </w:tc>
        <w:tc>
          <w:tcPr>
            <w:tcW w:w="793" w:type="dxa"/>
            <w:vAlign w:val="bottom"/>
          </w:tcPr>
          <w:p w:rsidR="00916675" w:rsidRPr="00227C94" w:rsidRDefault="00916675" w:rsidP="000572BE">
            <w:pPr>
              <w:pStyle w:val="tblNumber01"/>
              <w:jc w:val="center"/>
            </w:pPr>
            <w:r w:rsidRPr="00227C94">
              <w:t>6</w:t>
            </w:r>
          </w:p>
        </w:tc>
        <w:tc>
          <w:tcPr>
            <w:tcW w:w="1417" w:type="dxa"/>
            <w:tcBorders>
              <w:bottom w:val="nil"/>
            </w:tcBorders>
            <w:vAlign w:val="bottom"/>
          </w:tcPr>
          <w:p w:rsidR="00916675" w:rsidRPr="00227C94" w:rsidRDefault="00916675" w:rsidP="000572BE">
            <w:pPr>
              <w:pStyle w:val="tblNumber00"/>
            </w:pPr>
            <w:r w:rsidRPr="00227C94">
              <w:t>(569,030)</w:t>
            </w:r>
          </w:p>
        </w:tc>
        <w:tc>
          <w:tcPr>
            <w:tcW w:w="283" w:type="dxa"/>
            <w:vAlign w:val="bottom"/>
          </w:tcPr>
          <w:p w:rsidR="00916675" w:rsidRPr="00227C94" w:rsidRDefault="00916675" w:rsidP="000572BE">
            <w:pPr>
              <w:pStyle w:val="tblNumber01"/>
            </w:pPr>
          </w:p>
        </w:tc>
        <w:tc>
          <w:tcPr>
            <w:tcW w:w="1417" w:type="dxa"/>
            <w:tcBorders>
              <w:bottom w:val="nil"/>
            </w:tcBorders>
            <w:vAlign w:val="bottom"/>
          </w:tcPr>
          <w:p w:rsidR="00916675" w:rsidRPr="00227C94" w:rsidRDefault="00916675" w:rsidP="000572BE">
            <w:pPr>
              <w:pStyle w:val="tblNumber00"/>
            </w:pPr>
            <w:r w:rsidRPr="00227C94">
              <w:t>(478,053)</w:t>
            </w:r>
          </w:p>
        </w:tc>
        <w:tc>
          <w:tcPr>
            <w:tcW w:w="283" w:type="dxa"/>
            <w:vAlign w:val="bottom"/>
          </w:tcPr>
          <w:p w:rsidR="00916675" w:rsidRPr="00227C94" w:rsidRDefault="00916675" w:rsidP="000572BE">
            <w:pPr>
              <w:pStyle w:val="tblNumber01"/>
            </w:pPr>
          </w:p>
        </w:tc>
        <w:tc>
          <w:tcPr>
            <w:tcW w:w="1417" w:type="dxa"/>
            <w:tcBorders>
              <w:bottom w:val="nil"/>
            </w:tcBorders>
            <w:vAlign w:val="bottom"/>
          </w:tcPr>
          <w:p w:rsidR="00916675" w:rsidRPr="00227C94" w:rsidRDefault="00916675" w:rsidP="000572BE">
            <w:pPr>
              <w:pStyle w:val="tblNumber00"/>
            </w:pPr>
            <w:r w:rsidRPr="00227C94">
              <w:t>(1,162,019)</w:t>
            </w:r>
          </w:p>
        </w:tc>
      </w:tr>
      <w:tr w:rsidR="00916675" w:rsidRPr="00227C94" w:rsidTr="00A701F4">
        <w:trPr>
          <w:cantSplit/>
        </w:trPr>
        <w:tc>
          <w:tcPr>
            <w:tcW w:w="3802" w:type="dxa"/>
          </w:tcPr>
          <w:p w:rsidR="00916675" w:rsidRPr="00227C94" w:rsidRDefault="00916675" w:rsidP="000572BE">
            <w:pPr>
              <w:pStyle w:val="tblText05"/>
              <w:ind w:left="113"/>
            </w:pPr>
            <w:r w:rsidRPr="00227C94">
              <w:t>Cost of other sales</w:t>
            </w: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(21,232)</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(23,223)</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(46,343)</w:t>
            </w:r>
          </w:p>
        </w:tc>
      </w:tr>
      <w:tr w:rsidR="00916675" w:rsidRPr="00227C94" w:rsidTr="000572BE">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5"/>
              <w:ind w:left="113"/>
              <w:rPr>
                <w:b/>
              </w:rPr>
            </w:pPr>
            <w:r w:rsidRPr="00227C94">
              <w:rPr>
                <w:b/>
              </w:rPr>
              <w:t>Gross profit</w:t>
            </w:r>
          </w:p>
        </w:tc>
        <w:tc>
          <w:tcPr>
            <w:tcW w:w="793" w:type="dxa"/>
            <w:vAlign w:val="bottom"/>
          </w:tcPr>
          <w:p w:rsidR="00916675" w:rsidRPr="00227C94" w:rsidRDefault="00916675" w:rsidP="000572BE">
            <w:pPr>
              <w:pStyle w:val="tblNumber01"/>
            </w:pPr>
          </w:p>
        </w:tc>
        <w:tc>
          <w:tcPr>
            <w:tcW w:w="1417" w:type="dxa"/>
            <w:tcBorders>
              <w:top w:val="nil"/>
            </w:tcBorders>
            <w:vAlign w:val="bottom"/>
          </w:tcPr>
          <w:p w:rsidR="00916675" w:rsidRPr="00227C94" w:rsidRDefault="00916675" w:rsidP="000572BE">
            <w:pPr>
              <w:pStyle w:val="tblNumber01"/>
              <w:rPr>
                <w:b/>
              </w:rPr>
            </w:pPr>
            <w:r w:rsidRPr="00227C94">
              <w:rPr>
                <w:b/>
              </w:rPr>
              <w:t>662,658</w:t>
            </w:r>
          </w:p>
        </w:tc>
        <w:tc>
          <w:tcPr>
            <w:tcW w:w="283" w:type="dxa"/>
            <w:vAlign w:val="bottom"/>
          </w:tcPr>
          <w:p w:rsidR="00916675" w:rsidRPr="00227C94" w:rsidRDefault="00916675" w:rsidP="000572BE">
            <w:pPr>
              <w:pStyle w:val="tblNumber01"/>
            </w:pPr>
          </w:p>
        </w:tc>
        <w:tc>
          <w:tcPr>
            <w:tcW w:w="1417" w:type="dxa"/>
            <w:tcBorders>
              <w:top w:val="nil"/>
            </w:tcBorders>
            <w:vAlign w:val="bottom"/>
          </w:tcPr>
          <w:p w:rsidR="00916675" w:rsidRPr="00227C94" w:rsidRDefault="00916675" w:rsidP="000572BE">
            <w:pPr>
              <w:pStyle w:val="tblNumber01"/>
              <w:rPr>
                <w:b/>
              </w:rPr>
            </w:pPr>
            <w:r w:rsidRPr="00227C94">
              <w:rPr>
                <w:b/>
              </w:rPr>
              <w:t>429,483</w:t>
            </w:r>
          </w:p>
        </w:tc>
        <w:tc>
          <w:tcPr>
            <w:tcW w:w="283" w:type="dxa"/>
            <w:vAlign w:val="bottom"/>
          </w:tcPr>
          <w:p w:rsidR="00916675" w:rsidRPr="00227C94" w:rsidRDefault="00916675" w:rsidP="000572BE">
            <w:pPr>
              <w:pStyle w:val="tblNumber01"/>
            </w:pPr>
          </w:p>
        </w:tc>
        <w:tc>
          <w:tcPr>
            <w:tcW w:w="1417" w:type="dxa"/>
            <w:tcBorders>
              <w:top w:val="nil"/>
            </w:tcBorders>
            <w:vAlign w:val="bottom"/>
          </w:tcPr>
          <w:p w:rsidR="00916675" w:rsidRPr="00227C94" w:rsidRDefault="00916675" w:rsidP="000572BE">
            <w:pPr>
              <w:pStyle w:val="tblNumber01"/>
              <w:rPr>
                <w:b/>
              </w:rPr>
            </w:pPr>
            <w:r w:rsidRPr="00227C94">
              <w:rPr>
                <w:b/>
              </w:rPr>
              <w:t>1,194,348</w:t>
            </w:r>
          </w:p>
        </w:tc>
      </w:tr>
      <w:tr w:rsidR="00916675" w:rsidRPr="00227C94" w:rsidTr="000572BE">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5"/>
              <w:ind w:left="113"/>
              <w:rPr>
                <w:lang w:val="en-US"/>
              </w:rPr>
            </w:pPr>
            <w:r w:rsidRPr="00227C94">
              <w:rPr>
                <w:lang w:val="en-US"/>
              </w:rPr>
              <w:t>Selling, general and administrative expenses</w:t>
            </w:r>
          </w:p>
        </w:tc>
        <w:tc>
          <w:tcPr>
            <w:tcW w:w="793" w:type="dxa"/>
            <w:vAlign w:val="bottom"/>
          </w:tcPr>
          <w:p w:rsidR="00916675" w:rsidRPr="00227C94" w:rsidRDefault="00916675" w:rsidP="000572BE">
            <w:pPr>
              <w:pStyle w:val="tblNumber01"/>
              <w:jc w:val="center"/>
            </w:pPr>
            <w:r w:rsidRPr="00227C94">
              <w:t>7</w:t>
            </w:r>
          </w:p>
        </w:tc>
        <w:tc>
          <w:tcPr>
            <w:tcW w:w="1417" w:type="dxa"/>
            <w:vAlign w:val="bottom"/>
          </w:tcPr>
          <w:p w:rsidR="00916675" w:rsidRPr="00227C94" w:rsidRDefault="00916675" w:rsidP="000572BE">
            <w:pPr>
              <w:pStyle w:val="tblNumber00"/>
            </w:pPr>
            <w:r w:rsidRPr="00227C94">
              <w:t>(110,240)</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(93,462)</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(225,618)</w:t>
            </w:r>
          </w:p>
        </w:tc>
      </w:tr>
      <w:tr w:rsidR="00916675" w:rsidRPr="00227C94" w:rsidTr="000572BE">
        <w:trPr>
          <w:cantSplit/>
        </w:trPr>
        <w:tc>
          <w:tcPr>
            <w:tcW w:w="3802" w:type="dxa"/>
          </w:tcPr>
          <w:p w:rsidR="00916675" w:rsidRPr="00227C94" w:rsidRDefault="00916675" w:rsidP="000572BE">
            <w:pPr>
              <w:pStyle w:val="tblText05"/>
              <w:ind w:left="113"/>
              <w:rPr>
                <w:rFonts w:cs="Arial"/>
              </w:rPr>
            </w:pPr>
            <w:r w:rsidRPr="00227C94">
              <w:t>Impairment of stockpiles</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Dash"/>
            </w:pPr>
            <w:r w:rsidRPr="00227C94">
              <w:t>-</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(25,881)</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(25,209)</w:t>
            </w:r>
          </w:p>
        </w:tc>
      </w:tr>
      <w:tr w:rsidR="00916675" w:rsidRPr="00227C94" w:rsidTr="000572BE">
        <w:trPr>
          <w:cantSplit/>
        </w:trPr>
        <w:tc>
          <w:tcPr>
            <w:tcW w:w="3802" w:type="dxa"/>
          </w:tcPr>
          <w:p w:rsidR="00916675" w:rsidRPr="00227C94" w:rsidRDefault="00916675" w:rsidP="000572BE">
            <w:pPr>
              <w:pStyle w:val="tblText05"/>
              <w:ind w:left="113"/>
              <w:rPr>
                <w:rFonts w:cs="Arial"/>
                <w:spacing w:val="-2"/>
                <w:lang w:val="en-US"/>
              </w:rPr>
            </w:pPr>
            <w:r w:rsidRPr="00227C94">
              <w:rPr>
                <w:spacing w:val="-2"/>
                <w:lang w:val="en-US"/>
              </w:rPr>
              <w:t>Impairment of exploration and evaluation assets</w:t>
            </w:r>
          </w:p>
        </w:tc>
        <w:tc>
          <w:tcPr>
            <w:tcW w:w="793" w:type="dxa"/>
            <w:vAlign w:val="bottom"/>
          </w:tcPr>
          <w:p w:rsidR="00916675" w:rsidRPr="00227C94" w:rsidRDefault="00916675" w:rsidP="000572BE">
            <w:pPr>
              <w:pStyle w:val="tblNumber01"/>
              <w:rPr>
                <w:lang w:val="en-US"/>
              </w:rPr>
            </w:pPr>
          </w:p>
        </w:tc>
        <w:tc>
          <w:tcPr>
            <w:tcW w:w="1417" w:type="dxa"/>
            <w:vAlign w:val="bottom"/>
          </w:tcPr>
          <w:p w:rsidR="00916675" w:rsidRPr="00227C94" w:rsidRDefault="00916675" w:rsidP="000572BE">
            <w:pPr>
              <w:pStyle w:val="tblNumber00"/>
            </w:pPr>
            <w:r w:rsidRPr="00227C94">
              <w:t>(243)</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(15,100)</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(54,708)</w:t>
            </w:r>
          </w:p>
        </w:tc>
      </w:tr>
      <w:tr w:rsidR="00916675" w:rsidRPr="00227C94" w:rsidTr="000572BE">
        <w:trPr>
          <w:cantSplit/>
        </w:trPr>
        <w:tc>
          <w:tcPr>
            <w:tcW w:w="3802" w:type="dxa"/>
          </w:tcPr>
          <w:p w:rsidR="00916675" w:rsidRPr="00227C94" w:rsidRDefault="00916675" w:rsidP="000572BE">
            <w:pPr>
              <w:pStyle w:val="tblText05"/>
              <w:ind w:left="113"/>
              <w:rPr>
                <w:rFonts w:cs="Arial"/>
                <w:lang w:val="en-US"/>
              </w:rPr>
            </w:pPr>
            <w:r w:rsidRPr="00227C94">
              <w:rPr>
                <w:lang w:val="en-US"/>
              </w:rPr>
              <w:t>Impairment of property, plant and equipment</w:t>
            </w:r>
          </w:p>
        </w:tc>
        <w:tc>
          <w:tcPr>
            <w:tcW w:w="793" w:type="dxa"/>
            <w:vAlign w:val="bottom"/>
          </w:tcPr>
          <w:p w:rsidR="00916675" w:rsidRPr="00227C94" w:rsidRDefault="00916675" w:rsidP="000572BE">
            <w:pPr>
              <w:pStyle w:val="tblNumber01"/>
              <w:jc w:val="center"/>
            </w:pPr>
            <w:r w:rsidRPr="00227C94">
              <w:t>10</w:t>
            </w:r>
          </w:p>
        </w:tc>
        <w:tc>
          <w:tcPr>
            <w:tcW w:w="1417" w:type="dxa"/>
            <w:vAlign w:val="bottom"/>
          </w:tcPr>
          <w:p w:rsidR="00916675" w:rsidRPr="00227C94" w:rsidRDefault="00916675" w:rsidP="000572BE">
            <w:pPr>
              <w:pStyle w:val="tblNumber00"/>
            </w:pPr>
            <w:r w:rsidRPr="00227C94">
              <w:t>(17,316)</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(7,644)</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(23,501)</w:t>
            </w:r>
          </w:p>
        </w:tc>
      </w:tr>
      <w:tr w:rsidR="00916675" w:rsidRPr="00227C94" w:rsidTr="000572BE">
        <w:trPr>
          <w:cantSplit/>
        </w:trPr>
        <w:tc>
          <w:tcPr>
            <w:tcW w:w="3802" w:type="dxa"/>
          </w:tcPr>
          <w:p w:rsidR="00916675" w:rsidRPr="00227C94" w:rsidRDefault="00916675" w:rsidP="000572BE">
            <w:pPr>
              <w:pStyle w:val="tblText05"/>
              <w:ind w:left="113"/>
              <w:rPr>
                <w:lang w:val="en-US"/>
              </w:rPr>
            </w:pPr>
            <w:r w:rsidRPr="00227C94">
              <w:rPr>
                <w:lang w:val="en-US"/>
              </w:rPr>
              <w:t>Gain on disposal of subsidiaries</w:t>
            </w:r>
          </w:p>
        </w:tc>
        <w:tc>
          <w:tcPr>
            <w:tcW w:w="793" w:type="dxa"/>
            <w:vAlign w:val="bottom"/>
          </w:tcPr>
          <w:p w:rsidR="00916675" w:rsidRPr="00227C94" w:rsidRDefault="00916675" w:rsidP="000572BE">
            <w:pPr>
              <w:pStyle w:val="tblNumber01"/>
              <w:jc w:val="center"/>
            </w:pPr>
            <w:r w:rsidRPr="00227C94">
              <w:t>3</w:t>
            </w:r>
          </w:p>
        </w:tc>
        <w:tc>
          <w:tcPr>
            <w:tcW w:w="1417" w:type="dxa"/>
            <w:tcBorders>
              <w:bottom w:val="nil"/>
            </w:tcBorders>
            <w:vAlign w:val="bottom"/>
          </w:tcPr>
          <w:p w:rsidR="00916675" w:rsidRPr="00227C94" w:rsidRDefault="00916675" w:rsidP="000572BE">
            <w:pPr>
              <w:pStyle w:val="tblNumber01"/>
            </w:pPr>
            <w:r w:rsidRPr="00227C94">
              <w:t>6,268</w:t>
            </w:r>
          </w:p>
        </w:tc>
        <w:tc>
          <w:tcPr>
            <w:tcW w:w="283" w:type="dxa"/>
            <w:vAlign w:val="bottom"/>
          </w:tcPr>
          <w:p w:rsidR="00916675" w:rsidRPr="00227C94" w:rsidRDefault="00916675" w:rsidP="000572BE">
            <w:pPr>
              <w:pStyle w:val="tblNumber01"/>
            </w:pPr>
          </w:p>
        </w:tc>
        <w:tc>
          <w:tcPr>
            <w:tcW w:w="1417" w:type="dxa"/>
            <w:tcBorders>
              <w:bottom w:val="nil"/>
            </w:tcBorders>
            <w:vAlign w:val="bottom"/>
          </w:tcPr>
          <w:p w:rsidR="00916675" w:rsidRPr="00227C94" w:rsidRDefault="00916675" w:rsidP="000572BE">
            <w:pPr>
              <w:pStyle w:val="tblNumberDash"/>
            </w:pPr>
            <w:r w:rsidRPr="00227C94">
              <w:t>-</w:t>
            </w:r>
          </w:p>
        </w:tc>
        <w:tc>
          <w:tcPr>
            <w:tcW w:w="283" w:type="dxa"/>
            <w:vAlign w:val="bottom"/>
          </w:tcPr>
          <w:p w:rsidR="00916675" w:rsidRPr="00227C94" w:rsidRDefault="00916675" w:rsidP="000572BE">
            <w:pPr>
              <w:pStyle w:val="tblNumber01"/>
            </w:pPr>
          </w:p>
        </w:tc>
        <w:tc>
          <w:tcPr>
            <w:tcW w:w="1417" w:type="dxa"/>
            <w:tcBorders>
              <w:bottom w:val="nil"/>
            </w:tcBorders>
            <w:vAlign w:val="bottom"/>
          </w:tcPr>
          <w:p w:rsidR="00916675" w:rsidRPr="00227C94" w:rsidRDefault="00916675" w:rsidP="000572BE">
            <w:pPr>
              <w:pStyle w:val="tblNumberDash"/>
            </w:pPr>
            <w:r w:rsidRPr="00227C94">
              <w:t>-</w:t>
            </w:r>
          </w:p>
        </w:tc>
      </w:tr>
      <w:tr w:rsidR="00916675" w:rsidRPr="00227C94" w:rsidTr="00A701F4">
        <w:trPr>
          <w:cantSplit/>
        </w:trPr>
        <w:tc>
          <w:tcPr>
            <w:tcW w:w="3802" w:type="dxa"/>
          </w:tcPr>
          <w:p w:rsidR="00916675" w:rsidRPr="00227C94" w:rsidRDefault="00916675" w:rsidP="000572BE">
            <w:pPr>
              <w:pStyle w:val="tblText05"/>
              <w:ind w:left="113"/>
            </w:pPr>
            <w:r w:rsidRPr="00227C94">
              <w:t>Research expenses</w:t>
            </w:r>
          </w:p>
        </w:tc>
        <w:tc>
          <w:tcPr>
            <w:tcW w:w="793" w:type="dxa"/>
            <w:vAlign w:val="bottom"/>
          </w:tcPr>
          <w:p w:rsidR="00916675" w:rsidRPr="00227C94" w:rsidRDefault="00916675" w:rsidP="000572BE">
            <w:pPr>
              <w:pStyle w:val="tblNumber01"/>
            </w:pPr>
          </w:p>
        </w:tc>
        <w:tc>
          <w:tcPr>
            <w:tcW w:w="1417" w:type="dxa"/>
            <w:tcBorders>
              <w:bottom w:val="nil"/>
            </w:tcBorders>
            <w:vAlign w:val="bottom"/>
          </w:tcPr>
          <w:p w:rsidR="00916675" w:rsidRPr="00227C94" w:rsidRDefault="00916675" w:rsidP="000572BE">
            <w:pPr>
              <w:pStyle w:val="tblNumber00"/>
            </w:pPr>
            <w:r w:rsidRPr="00227C94">
              <w:t>(1,284)</w:t>
            </w:r>
          </w:p>
        </w:tc>
        <w:tc>
          <w:tcPr>
            <w:tcW w:w="283" w:type="dxa"/>
            <w:vAlign w:val="bottom"/>
          </w:tcPr>
          <w:p w:rsidR="00916675" w:rsidRPr="00227C94" w:rsidRDefault="00916675" w:rsidP="000572BE">
            <w:pPr>
              <w:pStyle w:val="tblNumber01"/>
            </w:pPr>
          </w:p>
        </w:tc>
        <w:tc>
          <w:tcPr>
            <w:tcW w:w="1417" w:type="dxa"/>
            <w:tcBorders>
              <w:bottom w:val="nil"/>
            </w:tcBorders>
            <w:vAlign w:val="bottom"/>
          </w:tcPr>
          <w:p w:rsidR="00916675" w:rsidRPr="00227C94" w:rsidRDefault="00916675" w:rsidP="000572BE">
            <w:pPr>
              <w:pStyle w:val="tblNumber00"/>
            </w:pPr>
            <w:r w:rsidRPr="00227C94">
              <w:t>(1,255)</w:t>
            </w:r>
          </w:p>
        </w:tc>
        <w:tc>
          <w:tcPr>
            <w:tcW w:w="283" w:type="dxa"/>
            <w:vAlign w:val="bottom"/>
          </w:tcPr>
          <w:p w:rsidR="00916675" w:rsidRPr="00227C94" w:rsidRDefault="00916675" w:rsidP="000572BE">
            <w:pPr>
              <w:pStyle w:val="tblNumber01"/>
            </w:pPr>
          </w:p>
        </w:tc>
        <w:tc>
          <w:tcPr>
            <w:tcW w:w="1417" w:type="dxa"/>
            <w:tcBorders>
              <w:bottom w:val="nil"/>
            </w:tcBorders>
            <w:vAlign w:val="bottom"/>
          </w:tcPr>
          <w:p w:rsidR="00916675" w:rsidRPr="00227C94" w:rsidRDefault="00916675" w:rsidP="000572BE">
            <w:pPr>
              <w:pStyle w:val="tblNumber00"/>
            </w:pPr>
            <w:r w:rsidRPr="00227C94">
              <w:t>(2,581)</w:t>
            </w:r>
          </w:p>
        </w:tc>
      </w:tr>
      <w:tr w:rsidR="00916675" w:rsidRPr="00227C94" w:rsidTr="00A701F4">
        <w:trPr>
          <w:cantSplit/>
        </w:trPr>
        <w:tc>
          <w:tcPr>
            <w:tcW w:w="3802" w:type="dxa"/>
          </w:tcPr>
          <w:p w:rsidR="00916675" w:rsidRPr="00227C94" w:rsidRDefault="00916675" w:rsidP="000572BE">
            <w:pPr>
              <w:pStyle w:val="tblText05"/>
              <w:ind w:left="113"/>
            </w:pPr>
            <w:r w:rsidRPr="00227C94">
              <w:t>Other expenses, net</w:t>
            </w: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(5,550)</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(6,510)</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(24,077)</w:t>
            </w:r>
          </w:p>
        </w:tc>
      </w:tr>
      <w:tr w:rsidR="00916675" w:rsidRPr="00227C94" w:rsidTr="000572BE">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5"/>
              <w:ind w:left="113"/>
              <w:rPr>
                <w:b/>
              </w:rPr>
            </w:pPr>
            <w:r w:rsidRPr="00227C94">
              <w:rPr>
                <w:b/>
              </w:rPr>
              <w:t>Operating profit</w:t>
            </w:r>
          </w:p>
        </w:tc>
        <w:tc>
          <w:tcPr>
            <w:tcW w:w="793" w:type="dxa"/>
            <w:vAlign w:val="bottom"/>
          </w:tcPr>
          <w:p w:rsidR="00916675" w:rsidRPr="00227C94" w:rsidRDefault="00916675" w:rsidP="000572BE">
            <w:pPr>
              <w:pStyle w:val="tblNumber01"/>
            </w:pPr>
          </w:p>
        </w:tc>
        <w:tc>
          <w:tcPr>
            <w:tcW w:w="1417" w:type="dxa"/>
            <w:tcBorders>
              <w:top w:val="nil"/>
            </w:tcBorders>
            <w:vAlign w:val="bottom"/>
          </w:tcPr>
          <w:p w:rsidR="00916675" w:rsidRPr="00227C94" w:rsidRDefault="00916675" w:rsidP="000572BE">
            <w:pPr>
              <w:pStyle w:val="tblNumber01"/>
              <w:rPr>
                <w:b/>
              </w:rPr>
            </w:pPr>
            <w:r w:rsidRPr="00227C94">
              <w:rPr>
                <w:b/>
              </w:rPr>
              <w:t>534,293</w:t>
            </w:r>
          </w:p>
        </w:tc>
        <w:tc>
          <w:tcPr>
            <w:tcW w:w="283" w:type="dxa"/>
            <w:vAlign w:val="bottom"/>
          </w:tcPr>
          <w:p w:rsidR="00916675" w:rsidRPr="00227C94" w:rsidRDefault="00916675" w:rsidP="000572BE">
            <w:pPr>
              <w:pStyle w:val="tblNumber01"/>
            </w:pPr>
          </w:p>
        </w:tc>
        <w:tc>
          <w:tcPr>
            <w:tcW w:w="1417" w:type="dxa"/>
            <w:tcBorders>
              <w:top w:val="nil"/>
            </w:tcBorders>
            <w:vAlign w:val="bottom"/>
          </w:tcPr>
          <w:p w:rsidR="00916675" w:rsidRPr="00227C94" w:rsidRDefault="00916675" w:rsidP="000572BE">
            <w:pPr>
              <w:pStyle w:val="tblNumber01"/>
              <w:rPr>
                <w:b/>
              </w:rPr>
            </w:pPr>
            <w:r w:rsidRPr="00227C94">
              <w:rPr>
                <w:b/>
              </w:rPr>
              <w:t>279,631</w:t>
            </w:r>
          </w:p>
        </w:tc>
        <w:tc>
          <w:tcPr>
            <w:tcW w:w="283" w:type="dxa"/>
            <w:vAlign w:val="bottom"/>
          </w:tcPr>
          <w:p w:rsidR="00916675" w:rsidRPr="00227C94" w:rsidRDefault="00916675" w:rsidP="000572BE">
            <w:pPr>
              <w:pStyle w:val="tblNumber01"/>
            </w:pPr>
          </w:p>
        </w:tc>
        <w:tc>
          <w:tcPr>
            <w:tcW w:w="1417" w:type="dxa"/>
            <w:tcBorders>
              <w:top w:val="nil"/>
            </w:tcBorders>
            <w:vAlign w:val="bottom"/>
          </w:tcPr>
          <w:p w:rsidR="00916675" w:rsidRPr="00227C94" w:rsidRDefault="00916675" w:rsidP="000572BE">
            <w:pPr>
              <w:pStyle w:val="tblNumber01"/>
              <w:rPr>
                <w:b/>
              </w:rPr>
            </w:pPr>
            <w:r w:rsidRPr="00227C94">
              <w:rPr>
                <w:b/>
              </w:rPr>
              <w:t>838,654</w:t>
            </w:r>
          </w:p>
        </w:tc>
      </w:tr>
      <w:tr w:rsidR="00916675" w:rsidRPr="00227C94" w:rsidTr="000572BE">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5"/>
              <w:ind w:left="113"/>
            </w:pPr>
            <w:r w:rsidRPr="00227C94">
              <w:t>Finance costs</w:t>
            </w:r>
          </w:p>
        </w:tc>
        <w:tc>
          <w:tcPr>
            <w:tcW w:w="793" w:type="dxa"/>
            <w:vAlign w:val="bottom"/>
          </w:tcPr>
          <w:p w:rsidR="00916675" w:rsidRPr="00227C94" w:rsidRDefault="00916675" w:rsidP="000572BE">
            <w:pPr>
              <w:pStyle w:val="tblNumber01"/>
              <w:jc w:val="center"/>
            </w:pPr>
            <w:r w:rsidRPr="00227C94">
              <w:t>8</w:t>
            </w:r>
          </w:p>
        </w:tc>
        <w:tc>
          <w:tcPr>
            <w:tcW w:w="1417" w:type="dxa"/>
            <w:vAlign w:val="bottom"/>
          </w:tcPr>
          <w:p w:rsidR="00916675" w:rsidRPr="00227C94" w:rsidRDefault="00916675" w:rsidP="000572BE">
            <w:pPr>
              <w:pStyle w:val="tblNumber00"/>
            </w:pPr>
            <w:r w:rsidRPr="00227C94">
              <w:t>(22,489)</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(22,712)</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(71,403)</w:t>
            </w:r>
          </w:p>
        </w:tc>
      </w:tr>
      <w:tr w:rsidR="00916675" w:rsidRPr="00227C94" w:rsidTr="00A701F4">
        <w:trPr>
          <w:cantSplit/>
        </w:trPr>
        <w:tc>
          <w:tcPr>
            <w:tcW w:w="3802" w:type="dxa"/>
          </w:tcPr>
          <w:p w:rsidR="00916675" w:rsidRPr="00227C94" w:rsidRDefault="00916675" w:rsidP="000572BE">
            <w:pPr>
              <w:pStyle w:val="tblText05"/>
              <w:ind w:left="113"/>
            </w:pPr>
            <w:r w:rsidRPr="00227C94">
              <w:t>Income from investments, net</w:t>
            </w:r>
          </w:p>
        </w:tc>
        <w:tc>
          <w:tcPr>
            <w:tcW w:w="793" w:type="dxa"/>
            <w:vAlign w:val="bottom"/>
          </w:tcPr>
          <w:p w:rsidR="00916675" w:rsidRPr="00227C94" w:rsidRDefault="00916675" w:rsidP="000572BE">
            <w:pPr>
              <w:pStyle w:val="tblNumber01"/>
              <w:jc w:val="center"/>
            </w:pPr>
            <w:r w:rsidRPr="00227C94">
              <w:t>9</w:t>
            </w:r>
          </w:p>
        </w:tc>
        <w:tc>
          <w:tcPr>
            <w:tcW w:w="1417" w:type="dxa"/>
            <w:tcBorders>
              <w:bottom w:val="nil"/>
            </w:tcBorders>
            <w:vAlign w:val="bottom"/>
          </w:tcPr>
          <w:p w:rsidR="00916675" w:rsidRPr="00227C94" w:rsidRDefault="00916675" w:rsidP="000572BE">
            <w:pPr>
              <w:pStyle w:val="tblNumber01"/>
            </w:pPr>
            <w:r w:rsidRPr="00227C94">
              <w:t>19,540</w:t>
            </w:r>
          </w:p>
        </w:tc>
        <w:tc>
          <w:tcPr>
            <w:tcW w:w="283" w:type="dxa"/>
            <w:vAlign w:val="bottom"/>
          </w:tcPr>
          <w:p w:rsidR="00916675" w:rsidRPr="00227C94" w:rsidRDefault="00916675" w:rsidP="000572BE">
            <w:pPr>
              <w:pStyle w:val="tblNumber01"/>
            </w:pPr>
          </w:p>
        </w:tc>
        <w:tc>
          <w:tcPr>
            <w:tcW w:w="1417" w:type="dxa"/>
            <w:tcBorders>
              <w:bottom w:val="nil"/>
            </w:tcBorders>
            <w:vAlign w:val="bottom"/>
          </w:tcPr>
          <w:p w:rsidR="00916675" w:rsidRPr="00227C94" w:rsidRDefault="00916675" w:rsidP="000572BE">
            <w:pPr>
              <w:pStyle w:val="tblNumber01"/>
            </w:pPr>
            <w:r w:rsidRPr="00227C94">
              <w:t>8,232</w:t>
            </w:r>
          </w:p>
        </w:tc>
        <w:tc>
          <w:tcPr>
            <w:tcW w:w="283" w:type="dxa"/>
            <w:vAlign w:val="bottom"/>
          </w:tcPr>
          <w:p w:rsidR="00916675" w:rsidRPr="00227C94" w:rsidRDefault="00916675" w:rsidP="000572BE">
            <w:pPr>
              <w:pStyle w:val="tblNumber01"/>
            </w:pPr>
          </w:p>
        </w:tc>
        <w:tc>
          <w:tcPr>
            <w:tcW w:w="1417" w:type="dxa"/>
            <w:tcBorders>
              <w:bottom w:val="nil"/>
            </w:tcBorders>
            <w:vAlign w:val="bottom"/>
          </w:tcPr>
          <w:p w:rsidR="00916675" w:rsidRPr="00227C94" w:rsidRDefault="00916675" w:rsidP="000572BE">
            <w:pPr>
              <w:pStyle w:val="tblNumber01"/>
            </w:pPr>
            <w:r w:rsidRPr="00227C94">
              <w:t>3,630</w:t>
            </w:r>
          </w:p>
        </w:tc>
      </w:tr>
      <w:tr w:rsidR="00916675" w:rsidRPr="00227C94" w:rsidTr="00A701F4">
        <w:trPr>
          <w:cantSplit/>
        </w:trPr>
        <w:tc>
          <w:tcPr>
            <w:tcW w:w="3802" w:type="dxa"/>
          </w:tcPr>
          <w:p w:rsidR="00916675" w:rsidRPr="00227C94" w:rsidRDefault="00916675" w:rsidP="000572BE">
            <w:pPr>
              <w:pStyle w:val="tblText05"/>
              <w:ind w:left="113"/>
            </w:pPr>
            <w:r w:rsidRPr="00227C94">
              <w:t>Foreign exchange gain/(loss)</w:t>
            </w: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7,578</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2,049</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(5,814)</w:t>
            </w:r>
          </w:p>
        </w:tc>
      </w:tr>
      <w:tr w:rsidR="00916675" w:rsidRPr="00227C94" w:rsidTr="000572BE">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5"/>
              <w:ind w:left="113"/>
              <w:rPr>
                <w:b/>
              </w:rPr>
            </w:pPr>
            <w:r w:rsidRPr="00227C94">
              <w:rPr>
                <w:b/>
              </w:rPr>
              <w:t>Profit before income tax</w:t>
            </w:r>
          </w:p>
        </w:tc>
        <w:tc>
          <w:tcPr>
            <w:tcW w:w="793" w:type="dxa"/>
            <w:vAlign w:val="bottom"/>
          </w:tcPr>
          <w:p w:rsidR="00916675" w:rsidRPr="00227C94" w:rsidRDefault="00916675" w:rsidP="000572BE">
            <w:pPr>
              <w:pStyle w:val="tblNumber01"/>
            </w:pPr>
          </w:p>
        </w:tc>
        <w:tc>
          <w:tcPr>
            <w:tcW w:w="1417" w:type="dxa"/>
            <w:tcBorders>
              <w:top w:val="nil"/>
            </w:tcBorders>
            <w:vAlign w:val="bottom"/>
          </w:tcPr>
          <w:p w:rsidR="00916675" w:rsidRPr="00227C94" w:rsidRDefault="00916675" w:rsidP="000572BE">
            <w:pPr>
              <w:pStyle w:val="tblNumber01"/>
              <w:rPr>
                <w:b/>
              </w:rPr>
            </w:pPr>
            <w:r w:rsidRPr="00227C94">
              <w:rPr>
                <w:b/>
              </w:rPr>
              <w:t>538,922</w:t>
            </w:r>
          </w:p>
        </w:tc>
        <w:tc>
          <w:tcPr>
            <w:tcW w:w="283" w:type="dxa"/>
            <w:vAlign w:val="bottom"/>
          </w:tcPr>
          <w:p w:rsidR="00916675" w:rsidRPr="00227C94" w:rsidRDefault="00916675" w:rsidP="000572BE">
            <w:pPr>
              <w:pStyle w:val="tblNumber01"/>
            </w:pPr>
          </w:p>
        </w:tc>
        <w:tc>
          <w:tcPr>
            <w:tcW w:w="1417" w:type="dxa"/>
            <w:tcBorders>
              <w:top w:val="nil"/>
            </w:tcBorders>
            <w:vAlign w:val="bottom"/>
          </w:tcPr>
          <w:p w:rsidR="00916675" w:rsidRPr="00227C94" w:rsidRDefault="00916675" w:rsidP="000572BE">
            <w:pPr>
              <w:pStyle w:val="tblNumber01"/>
              <w:rPr>
                <w:b/>
              </w:rPr>
            </w:pPr>
            <w:r w:rsidRPr="00227C94">
              <w:rPr>
                <w:b/>
              </w:rPr>
              <w:t>267,200</w:t>
            </w:r>
          </w:p>
        </w:tc>
        <w:tc>
          <w:tcPr>
            <w:tcW w:w="283" w:type="dxa"/>
            <w:vAlign w:val="bottom"/>
          </w:tcPr>
          <w:p w:rsidR="00916675" w:rsidRPr="00227C94" w:rsidRDefault="00916675" w:rsidP="000572BE">
            <w:pPr>
              <w:pStyle w:val="tblNumber01"/>
            </w:pPr>
          </w:p>
        </w:tc>
        <w:tc>
          <w:tcPr>
            <w:tcW w:w="1417" w:type="dxa"/>
            <w:tcBorders>
              <w:top w:val="nil"/>
            </w:tcBorders>
            <w:vAlign w:val="bottom"/>
          </w:tcPr>
          <w:p w:rsidR="00916675" w:rsidRPr="00227C94" w:rsidRDefault="00916675" w:rsidP="000572BE">
            <w:pPr>
              <w:pStyle w:val="tblNumber01"/>
              <w:rPr>
                <w:b/>
              </w:rPr>
            </w:pPr>
            <w:r w:rsidRPr="00227C94">
              <w:rPr>
                <w:b/>
              </w:rPr>
              <w:t>765,067</w:t>
            </w:r>
          </w:p>
        </w:tc>
      </w:tr>
      <w:tr w:rsidR="00916675" w:rsidRPr="00227C94" w:rsidTr="000572BE">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A701F4">
        <w:trPr>
          <w:cantSplit/>
        </w:trPr>
        <w:tc>
          <w:tcPr>
            <w:tcW w:w="3802" w:type="dxa"/>
          </w:tcPr>
          <w:p w:rsidR="00916675" w:rsidRPr="00227C94" w:rsidRDefault="00916675" w:rsidP="000572BE">
            <w:pPr>
              <w:pStyle w:val="tblText05"/>
              <w:ind w:left="113"/>
            </w:pPr>
            <w:r w:rsidRPr="00227C94">
              <w:t>Current income tax expense</w:t>
            </w:r>
          </w:p>
        </w:tc>
        <w:tc>
          <w:tcPr>
            <w:tcW w:w="793" w:type="dxa"/>
            <w:vAlign w:val="bottom"/>
          </w:tcPr>
          <w:p w:rsidR="00916675" w:rsidRPr="00227C94" w:rsidRDefault="00916675" w:rsidP="000572BE">
            <w:pPr>
              <w:pStyle w:val="tblNumber01"/>
            </w:pPr>
          </w:p>
        </w:tc>
        <w:tc>
          <w:tcPr>
            <w:tcW w:w="1417" w:type="dxa"/>
            <w:tcBorders>
              <w:bottom w:val="nil"/>
            </w:tcBorders>
            <w:shd w:val="clear" w:color="auto" w:fill="auto"/>
            <w:vAlign w:val="bottom"/>
          </w:tcPr>
          <w:p w:rsidR="00916675" w:rsidRPr="00227C94" w:rsidRDefault="00916675" w:rsidP="000572BE">
            <w:pPr>
              <w:pStyle w:val="tblNumber00"/>
            </w:pPr>
            <w:r w:rsidRPr="00227C94">
              <w:t>(102,851)</w:t>
            </w:r>
          </w:p>
        </w:tc>
        <w:tc>
          <w:tcPr>
            <w:tcW w:w="283" w:type="dxa"/>
            <w:vAlign w:val="bottom"/>
          </w:tcPr>
          <w:p w:rsidR="00916675" w:rsidRPr="00227C94" w:rsidRDefault="00916675" w:rsidP="000572BE">
            <w:pPr>
              <w:pStyle w:val="tblNumber01"/>
            </w:pPr>
          </w:p>
        </w:tc>
        <w:tc>
          <w:tcPr>
            <w:tcW w:w="1417" w:type="dxa"/>
            <w:tcBorders>
              <w:bottom w:val="nil"/>
            </w:tcBorders>
            <w:shd w:val="clear" w:color="auto" w:fill="auto"/>
            <w:vAlign w:val="bottom"/>
          </w:tcPr>
          <w:p w:rsidR="00916675" w:rsidRPr="00227C94" w:rsidRDefault="00916675" w:rsidP="000572BE">
            <w:pPr>
              <w:pStyle w:val="tblNumber00"/>
            </w:pPr>
            <w:r w:rsidRPr="00227C94">
              <w:t>(52,715)</w:t>
            </w:r>
          </w:p>
        </w:tc>
        <w:tc>
          <w:tcPr>
            <w:tcW w:w="283" w:type="dxa"/>
            <w:vAlign w:val="bottom"/>
          </w:tcPr>
          <w:p w:rsidR="00916675" w:rsidRPr="00227C94" w:rsidRDefault="00916675" w:rsidP="000572BE">
            <w:pPr>
              <w:pStyle w:val="tblNumber01"/>
            </w:pPr>
          </w:p>
        </w:tc>
        <w:tc>
          <w:tcPr>
            <w:tcW w:w="1417" w:type="dxa"/>
            <w:tcBorders>
              <w:bottom w:val="nil"/>
            </w:tcBorders>
            <w:vAlign w:val="bottom"/>
          </w:tcPr>
          <w:p w:rsidR="00916675" w:rsidRPr="00227C94" w:rsidRDefault="00916675" w:rsidP="000572BE">
            <w:pPr>
              <w:pStyle w:val="tblNumber00"/>
            </w:pPr>
            <w:r w:rsidRPr="00227C94">
              <w:t>(200,297)</w:t>
            </w:r>
          </w:p>
        </w:tc>
      </w:tr>
      <w:tr w:rsidR="00916675" w:rsidRPr="00227C94" w:rsidTr="00A701F4">
        <w:trPr>
          <w:cantSplit/>
        </w:trPr>
        <w:tc>
          <w:tcPr>
            <w:tcW w:w="3802" w:type="dxa"/>
          </w:tcPr>
          <w:p w:rsidR="00916675" w:rsidRPr="00227C94" w:rsidRDefault="00916675" w:rsidP="000572BE">
            <w:pPr>
              <w:pStyle w:val="tblText05"/>
              <w:ind w:left="113"/>
            </w:pPr>
            <w:r w:rsidRPr="00227C94">
              <w:t>Deferred income tax expense</w:t>
            </w: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(10,175)</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(7,685)</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(6,755)</w:t>
            </w:r>
          </w:p>
        </w:tc>
      </w:tr>
      <w:tr w:rsidR="00916675" w:rsidRPr="00227C94" w:rsidTr="00A701F4">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r>
      <w:tr w:rsidR="00916675" w:rsidRPr="00227C94" w:rsidTr="00A701F4">
        <w:trPr>
          <w:cantSplit/>
        </w:trPr>
        <w:tc>
          <w:tcPr>
            <w:tcW w:w="3802" w:type="dxa"/>
          </w:tcPr>
          <w:p w:rsidR="00916675" w:rsidRPr="00227C94" w:rsidRDefault="00916675" w:rsidP="000572BE">
            <w:pPr>
              <w:pStyle w:val="tblText05"/>
              <w:ind w:left="113"/>
              <w:rPr>
                <w:b/>
                <w:lang w:val="en-US"/>
              </w:rPr>
            </w:pPr>
            <w:r w:rsidRPr="00227C94">
              <w:rPr>
                <w:b/>
                <w:lang w:val="en-US"/>
              </w:rPr>
              <w:t>Profit for the period / year</w:t>
            </w:r>
          </w:p>
        </w:tc>
        <w:tc>
          <w:tcPr>
            <w:tcW w:w="793" w:type="dxa"/>
            <w:vAlign w:val="bottom"/>
          </w:tcPr>
          <w:p w:rsidR="00916675" w:rsidRPr="00227C94" w:rsidRDefault="00916675" w:rsidP="000572BE">
            <w:pPr>
              <w:pStyle w:val="tblNumber01"/>
              <w:rPr>
                <w:lang w:val="en-US"/>
              </w:rPr>
            </w:pPr>
          </w:p>
        </w:tc>
        <w:tc>
          <w:tcPr>
            <w:tcW w:w="1417" w:type="dxa"/>
            <w:tcBorders>
              <w:top w:val="nil"/>
              <w:bottom w:val="double" w:sz="6" w:space="0" w:color="auto"/>
            </w:tcBorders>
            <w:shd w:val="clear" w:color="auto" w:fill="auto"/>
            <w:vAlign w:val="bottom"/>
          </w:tcPr>
          <w:p w:rsidR="00916675" w:rsidRPr="00227C94" w:rsidRDefault="00916675" w:rsidP="000572BE">
            <w:pPr>
              <w:pStyle w:val="tblNumber01"/>
              <w:rPr>
                <w:b/>
              </w:rPr>
            </w:pPr>
            <w:r w:rsidRPr="00227C94">
              <w:rPr>
                <w:b/>
              </w:rPr>
              <w:t>425,896</w:t>
            </w:r>
          </w:p>
        </w:tc>
        <w:tc>
          <w:tcPr>
            <w:tcW w:w="283" w:type="dxa"/>
            <w:vAlign w:val="bottom"/>
          </w:tcPr>
          <w:p w:rsidR="00916675" w:rsidRPr="00227C94" w:rsidRDefault="00916675" w:rsidP="000572BE">
            <w:pPr>
              <w:pStyle w:val="tblNumber01"/>
            </w:pPr>
          </w:p>
        </w:tc>
        <w:tc>
          <w:tcPr>
            <w:tcW w:w="1417" w:type="dxa"/>
            <w:tcBorders>
              <w:top w:val="nil"/>
              <w:bottom w:val="double" w:sz="6" w:space="0" w:color="auto"/>
            </w:tcBorders>
            <w:shd w:val="clear" w:color="auto" w:fill="auto"/>
            <w:vAlign w:val="bottom"/>
          </w:tcPr>
          <w:p w:rsidR="00916675" w:rsidRPr="00227C94" w:rsidRDefault="00916675" w:rsidP="000572BE">
            <w:pPr>
              <w:pStyle w:val="tblNumber01"/>
              <w:rPr>
                <w:b/>
              </w:rPr>
            </w:pPr>
            <w:r w:rsidRPr="00227C94">
              <w:rPr>
                <w:b/>
              </w:rPr>
              <w:t>206,800</w:t>
            </w:r>
          </w:p>
        </w:tc>
        <w:tc>
          <w:tcPr>
            <w:tcW w:w="283" w:type="dxa"/>
            <w:vAlign w:val="bottom"/>
          </w:tcPr>
          <w:p w:rsidR="00916675" w:rsidRPr="00227C94" w:rsidRDefault="00916675" w:rsidP="000572BE">
            <w:pPr>
              <w:pStyle w:val="tblNumber01"/>
            </w:pPr>
          </w:p>
        </w:tc>
        <w:tc>
          <w:tcPr>
            <w:tcW w:w="1417" w:type="dxa"/>
            <w:tcBorders>
              <w:top w:val="nil"/>
              <w:bottom w:val="double" w:sz="6" w:space="0" w:color="auto"/>
            </w:tcBorders>
            <w:shd w:val="clear" w:color="auto" w:fill="auto"/>
            <w:vAlign w:val="bottom"/>
          </w:tcPr>
          <w:p w:rsidR="00916675" w:rsidRPr="00227C94" w:rsidRDefault="00916675" w:rsidP="000572BE">
            <w:pPr>
              <w:pStyle w:val="tblNumber01"/>
              <w:rPr>
                <w:b/>
              </w:rPr>
            </w:pPr>
            <w:r w:rsidRPr="00227C94">
              <w:rPr>
                <w:b/>
              </w:rPr>
              <w:t>558,015</w:t>
            </w:r>
          </w:p>
        </w:tc>
      </w:tr>
      <w:tr w:rsidR="00916675" w:rsidRPr="00227C94" w:rsidTr="000572BE">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double" w:sz="6" w:space="0" w:color="auto"/>
              <w:bottom w:val="nil"/>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double" w:sz="6" w:space="0" w:color="auto"/>
              <w:bottom w:val="nil"/>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double" w:sz="6" w:space="0" w:color="auto"/>
              <w:bottom w:val="nil"/>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5"/>
              <w:ind w:left="113"/>
              <w:rPr>
                <w:lang w:val="en-US"/>
              </w:rPr>
            </w:pPr>
            <w:r w:rsidRPr="00227C94">
              <w:rPr>
                <w:lang w:val="en-US"/>
              </w:rPr>
              <w:t>Profit for the period / year attributable to:</w:t>
            </w:r>
          </w:p>
        </w:tc>
        <w:tc>
          <w:tcPr>
            <w:tcW w:w="793" w:type="dxa"/>
            <w:vAlign w:val="bottom"/>
          </w:tcPr>
          <w:p w:rsidR="00916675" w:rsidRPr="00227C94" w:rsidRDefault="00916675" w:rsidP="000572BE">
            <w:pPr>
              <w:pStyle w:val="tblNumber01"/>
              <w:rPr>
                <w:lang w:val="en-US"/>
              </w:rPr>
            </w:pPr>
          </w:p>
        </w:tc>
        <w:tc>
          <w:tcPr>
            <w:tcW w:w="1417" w:type="dxa"/>
            <w:tcBorders>
              <w:top w:val="nil"/>
              <w:bottom w:val="nil"/>
            </w:tcBorders>
            <w:vAlign w:val="bottom"/>
          </w:tcPr>
          <w:p w:rsidR="00916675" w:rsidRPr="00227C94" w:rsidRDefault="00916675" w:rsidP="000572BE">
            <w:pPr>
              <w:pStyle w:val="tblNumber01"/>
              <w:rPr>
                <w:lang w:val="en-US"/>
              </w:rPr>
            </w:pPr>
          </w:p>
        </w:tc>
        <w:tc>
          <w:tcPr>
            <w:tcW w:w="283" w:type="dxa"/>
            <w:vAlign w:val="bottom"/>
          </w:tcPr>
          <w:p w:rsidR="00916675" w:rsidRPr="00227C94" w:rsidRDefault="00916675" w:rsidP="000572BE">
            <w:pPr>
              <w:pStyle w:val="tblNumber01"/>
              <w:rPr>
                <w:lang w:val="en-US"/>
              </w:rPr>
            </w:pPr>
          </w:p>
        </w:tc>
        <w:tc>
          <w:tcPr>
            <w:tcW w:w="1417" w:type="dxa"/>
            <w:tcBorders>
              <w:top w:val="nil"/>
              <w:bottom w:val="nil"/>
            </w:tcBorders>
            <w:vAlign w:val="bottom"/>
          </w:tcPr>
          <w:p w:rsidR="00916675" w:rsidRPr="00227C94" w:rsidRDefault="00916675" w:rsidP="000572BE">
            <w:pPr>
              <w:pStyle w:val="tblNumber01"/>
              <w:rPr>
                <w:lang w:val="en-US"/>
              </w:rPr>
            </w:pPr>
          </w:p>
        </w:tc>
        <w:tc>
          <w:tcPr>
            <w:tcW w:w="283" w:type="dxa"/>
            <w:vAlign w:val="bottom"/>
          </w:tcPr>
          <w:p w:rsidR="00916675" w:rsidRPr="00227C94" w:rsidRDefault="00916675" w:rsidP="000572BE">
            <w:pPr>
              <w:pStyle w:val="tblNumber01"/>
              <w:rPr>
                <w:lang w:val="en-US"/>
              </w:rPr>
            </w:pPr>
          </w:p>
        </w:tc>
        <w:tc>
          <w:tcPr>
            <w:tcW w:w="1417" w:type="dxa"/>
            <w:tcBorders>
              <w:top w:val="nil"/>
              <w:bottom w:val="nil"/>
            </w:tcBorders>
            <w:vAlign w:val="bottom"/>
          </w:tcPr>
          <w:p w:rsidR="00916675" w:rsidRPr="00227C94" w:rsidRDefault="00916675" w:rsidP="000572BE">
            <w:pPr>
              <w:pStyle w:val="tblNumber01"/>
              <w:rPr>
                <w:lang w:val="en-US"/>
              </w:rPr>
            </w:pPr>
          </w:p>
        </w:tc>
      </w:tr>
      <w:tr w:rsidR="00916675" w:rsidRPr="00227C94" w:rsidTr="00A701F4">
        <w:trPr>
          <w:cantSplit/>
        </w:trPr>
        <w:tc>
          <w:tcPr>
            <w:tcW w:w="3802" w:type="dxa"/>
          </w:tcPr>
          <w:p w:rsidR="00916675" w:rsidRPr="00227C94" w:rsidRDefault="00916675" w:rsidP="000572BE">
            <w:pPr>
              <w:pStyle w:val="tblText05"/>
              <w:ind w:left="113"/>
            </w:pPr>
            <w:r w:rsidRPr="00227C94">
              <w:t>Shareholders of the Company</w:t>
            </w:r>
          </w:p>
        </w:tc>
        <w:tc>
          <w:tcPr>
            <w:tcW w:w="793" w:type="dxa"/>
            <w:vAlign w:val="bottom"/>
          </w:tcPr>
          <w:p w:rsidR="00916675" w:rsidRPr="00227C94" w:rsidRDefault="00916675" w:rsidP="000572BE">
            <w:pPr>
              <w:pStyle w:val="tblNumber01"/>
            </w:pPr>
          </w:p>
        </w:tc>
        <w:tc>
          <w:tcPr>
            <w:tcW w:w="1417" w:type="dxa"/>
            <w:tcBorders>
              <w:top w:val="nil"/>
              <w:bottom w:val="nil"/>
            </w:tcBorders>
            <w:vAlign w:val="bottom"/>
          </w:tcPr>
          <w:p w:rsidR="00916675" w:rsidRPr="00227C94" w:rsidRDefault="00916675" w:rsidP="000572BE">
            <w:pPr>
              <w:pStyle w:val="tblNumber01"/>
            </w:pPr>
            <w:r w:rsidRPr="00227C94">
              <w:t>389,315</w:t>
            </w:r>
          </w:p>
        </w:tc>
        <w:tc>
          <w:tcPr>
            <w:tcW w:w="283" w:type="dxa"/>
            <w:vAlign w:val="bottom"/>
          </w:tcPr>
          <w:p w:rsidR="00916675" w:rsidRPr="00227C94" w:rsidRDefault="00916675" w:rsidP="000572BE">
            <w:pPr>
              <w:pStyle w:val="tblNumber01"/>
            </w:pPr>
          </w:p>
        </w:tc>
        <w:tc>
          <w:tcPr>
            <w:tcW w:w="1417" w:type="dxa"/>
            <w:tcBorders>
              <w:top w:val="nil"/>
              <w:bottom w:val="nil"/>
            </w:tcBorders>
            <w:vAlign w:val="bottom"/>
          </w:tcPr>
          <w:p w:rsidR="00916675" w:rsidRPr="00227C94" w:rsidRDefault="00916675" w:rsidP="000572BE">
            <w:pPr>
              <w:pStyle w:val="tblNumber01"/>
            </w:pPr>
            <w:r w:rsidRPr="00227C94">
              <w:t>188,847</w:t>
            </w:r>
          </w:p>
        </w:tc>
        <w:tc>
          <w:tcPr>
            <w:tcW w:w="283" w:type="dxa"/>
            <w:vAlign w:val="bottom"/>
          </w:tcPr>
          <w:p w:rsidR="00916675" w:rsidRPr="00227C94" w:rsidRDefault="00916675" w:rsidP="000572BE">
            <w:pPr>
              <w:pStyle w:val="tblNumber01"/>
            </w:pPr>
          </w:p>
        </w:tc>
        <w:tc>
          <w:tcPr>
            <w:tcW w:w="1417" w:type="dxa"/>
            <w:tcBorders>
              <w:top w:val="nil"/>
              <w:bottom w:val="nil"/>
            </w:tcBorders>
            <w:vAlign w:val="bottom"/>
          </w:tcPr>
          <w:p w:rsidR="00916675" w:rsidRPr="00227C94" w:rsidRDefault="00916675" w:rsidP="000572BE">
            <w:pPr>
              <w:pStyle w:val="tblNumber01"/>
            </w:pPr>
            <w:r w:rsidRPr="00227C94">
              <w:t>468,998</w:t>
            </w:r>
          </w:p>
        </w:tc>
      </w:tr>
      <w:tr w:rsidR="00916675" w:rsidRPr="00227C94" w:rsidTr="00A701F4">
        <w:trPr>
          <w:cantSplit/>
        </w:trPr>
        <w:tc>
          <w:tcPr>
            <w:tcW w:w="3802" w:type="dxa"/>
          </w:tcPr>
          <w:p w:rsidR="00916675" w:rsidRPr="00227C94" w:rsidRDefault="00916675" w:rsidP="000572BE">
            <w:pPr>
              <w:pStyle w:val="tblText05"/>
              <w:ind w:left="113"/>
            </w:pPr>
            <w:r w:rsidRPr="00227C94">
              <w:t>Non-controlling interests</w:t>
            </w:r>
          </w:p>
        </w:tc>
        <w:tc>
          <w:tcPr>
            <w:tcW w:w="793" w:type="dxa"/>
            <w:vAlign w:val="bottom"/>
          </w:tcPr>
          <w:p w:rsidR="00916675" w:rsidRPr="00227C94" w:rsidRDefault="00916675" w:rsidP="000572BE">
            <w:pPr>
              <w:pStyle w:val="tblNumber01"/>
            </w:pPr>
          </w:p>
        </w:tc>
        <w:tc>
          <w:tcPr>
            <w:tcW w:w="1417" w:type="dxa"/>
            <w:tcBorders>
              <w:top w:val="nil"/>
              <w:bottom w:val="single" w:sz="6" w:space="0" w:color="auto"/>
            </w:tcBorders>
            <w:shd w:val="clear" w:color="auto" w:fill="auto"/>
            <w:vAlign w:val="bottom"/>
          </w:tcPr>
          <w:p w:rsidR="00916675" w:rsidRPr="00227C94" w:rsidRDefault="00916675" w:rsidP="000572BE">
            <w:pPr>
              <w:pStyle w:val="tblNumber01"/>
            </w:pPr>
            <w:r w:rsidRPr="00227C94">
              <w:t>36,581</w:t>
            </w:r>
          </w:p>
        </w:tc>
        <w:tc>
          <w:tcPr>
            <w:tcW w:w="283" w:type="dxa"/>
            <w:vAlign w:val="bottom"/>
          </w:tcPr>
          <w:p w:rsidR="00916675" w:rsidRPr="00227C94" w:rsidRDefault="00916675" w:rsidP="000572BE">
            <w:pPr>
              <w:pStyle w:val="tblNumber01"/>
            </w:pPr>
          </w:p>
        </w:tc>
        <w:tc>
          <w:tcPr>
            <w:tcW w:w="1417" w:type="dxa"/>
            <w:tcBorders>
              <w:top w:val="nil"/>
              <w:bottom w:val="single" w:sz="6" w:space="0" w:color="auto"/>
            </w:tcBorders>
            <w:shd w:val="clear" w:color="auto" w:fill="auto"/>
            <w:vAlign w:val="bottom"/>
          </w:tcPr>
          <w:p w:rsidR="00916675" w:rsidRPr="00227C94" w:rsidRDefault="00916675" w:rsidP="000572BE">
            <w:pPr>
              <w:pStyle w:val="tblNumber01"/>
            </w:pPr>
            <w:r w:rsidRPr="00227C94">
              <w:t>17,953</w:t>
            </w:r>
          </w:p>
        </w:tc>
        <w:tc>
          <w:tcPr>
            <w:tcW w:w="283" w:type="dxa"/>
            <w:vAlign w:val="bottom"/>
          </w:tcPr>
          <w:p w:rsidR="00916675" w:rsidRPr="00227C94" w:rsidRDefault="00916675" w:rsidP="000572BE">
            <w:pPr>
              <w:pStyle w:val="tblNumber01"/>
            </w:pPr>
          </w:p>
        </w:tc>
        <w:tc>
          <w:tcPr>
            <w:tcW w:w="1417" w:type="dxa"/>
            <w:tcBorders>
              <w:top w:val="nil"/>
              <w:bottom w:val="single" w:sz="6" w:space="0" w:color="auto"/>
            </w:tcBorders>
            <w:shd w:val="clear" w:color="auto" w:fill="auto"/>
            <w:vAlign w:val="bottom"/>
          </w:tcPr>
          <w:p w:rsidR="00916675" w:rsidRPr="00227C94" w:rsidRDefault="00916675" w:rsidP="000572BE">
            <w:pPr>
              <w:pStyle w:val="tblNumber01"/>
            </w:pPr>
            <w:r w:rsidRPr="00227C94">
              <w:t>89,017</w:t>
            </w:r>
          </w:p>
        </w:tc>
      </w:tr>
      <w:tr w:rsidR="00916675" w:rsidRPr="00227C94" w:rsidTr="00A701F4">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bottom w:val="nil"/>
            </w:tcBorders>
            <w:shd w:val="clear" w:color="auto" w:fill="auto"/>
            <w:vAlign w:val="bottom"/>
          </w:tcPr>
          <w:p w:rsidR="00916675" w:rsidRPr="00227C94" w:rsidRDefault="00916675" w:rsidP="000572BE">
            <w:pPr>
              <w:pStyle w:val="tblNumber01"/>
            </w:pPr>
          </w:p>
        </w:tc>
      </w:tr>
      <w:tr w:rsidR="00916675" w:rsidRPr="00227C94" w:rsidTr="00A701F4">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nil"/>
              <w:bottom w:val="double" w:sz="6" w:space="0" w:color="auto"/>
            </w:tcBorders>
            <w:shd w:val="clear" w:color="auto" w:fill="auto"/>
            <w:vAlign w:val="bottom"/>
          </w:tcPr>
          <w:p w:rsidR="00916675" w:rsidRPr="00227C94" w:rsidRDefault="00916675" w:rsidP="000572BE">
            <w:pPr>
              <w:pStyle w:val="tblNumber01"/>
              <w:rPr>
                <w:b/>
              </w:rPr>
            </w:pPr>
            <w:r w:rsidRPr="00227C94">
              <w:rPr>
                <w:b/>
              </w:rPr>
              <w:t>425,896</w:t>
            </w:r>
          </w:p>
        </w:tc>
        <w:tc>
          <w:tcPr>
            <w:tcW w:w="283" w:type="dxa"/>
            <w:vAlign w:val="bottom"/>
          </w:tcPr>
          <w:p w:rsidR="00916675" w:rsidRPr="00227C94" w:rsidRDefault="00916675" w:rsidP="000572BE">
            <w:pPr>
              <w:pStyle w:val="tblNumber01"/>
            </w:pPr>
          </w:p>
        </w:tc>
        <w:tc>
          <w:tcPr>
            <w:tcW w:w="1417" w:type="dxa"/>
            <w:tcBorders>
              <w:top w:val="nil"/>
              <w:bottom w:val="double" w:sz="6" w:space="0" w:color="auto"/>
            </w:tcBorders>
            <w:shd w:val="clear" w:color="auto" w:fill="auto"/>
            <w:vAlign w:val="bottom"/>
          </w:tcPr>
          <w:p w:rsidR="00916675" w:rsidRPr="00227C94" w:rsidRDefault="00916675" w:rsidP="000572BE">
            <w:pPr>
              <w:pStyle w:val="tblNumber01"/>
              <w:rPr>
                <w:b/>
              </w:rPr>
            </w:pPr>
            <w:r w:rsidRPr="00227C94">
              <w:rPr>
                <w:b/>
              </w:rPr>
              <w:t>206,800</w:t>
            </w:r>
          </w:p>
        </w:tc>
        <w:tc>
          <w:tcPr>
            <w:tcW w:w="283" w:type="dxa"/>
            <w:vAlign w:val="bottom"/>
          </w:tcPr>
          <w:p w:rsidR="00916675" w:rsidRPr="00227C94" w:rsidRDefault="00916675" w:rsidP="000572BE">
            <w:pPr>
              <w:pStyle w:val="tblNumber01"/>
            </w:pPr>
          </w:p>
        </w:tc>
        <w:tc>
          <w:tcPr>
            <w:tcW w:w="1417" w:type="dxa"/>
            <w:tcBorders>
              <w:top w:val="nil"/>
              <w:bottom w:val="double" w:sz="6" w:space="0" w:color="auto"/>
            </w:tcBorders>
            <w:shd w:val="clear" w:color="auto" w:fill="auto"/>
            <w:vAlign w:val="bottom"/>
          </w:tcPr>
          <w:p w:rsidR="00916675" w:rsidRPr="00227C94" w:rsidRDefault="00916675" w:rsidP="000572BE">
            <w:pPr>
              <w:pStyle w:val="tblNumber01"/>
              <w:rPr>
                <w:b/>
              </w:rPr>
            </w:pPr>
            <w:r w:rsidRPr="00227C94">
              <w:rPr>
                <w:b/>
              </w:rPr>
              <w:t>558,015</w:t>
            </w:r>
          </w:p>
        </w:tc>
      </w:tr>
      <w:tr w:rsidR="00916675" w:rsidRPr="00227C94" w:rsidTr="000572BE">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double" w:sz="6" w:space="0" w:color="auto"/>
              <w:bottom w:val="nil"/>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double" w:sz="6" w:space="0" w:color="auto"/>
              <w:bottom w:val="nil"/>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double" w:sz="6" w:space="0" w:color="auto"/>
              <w:bottom w:val="nil"/>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nil"/>
              <w:bottom w:val="nil"/>
            </w:tcBorders>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nil"/>
              <w:bottom w:val="nil"/>
            </w:tcBorders>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nil"/>
              <w:bottom w:val="nil"/>
            </w:tcBorders>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5"/>
              <w:ind w:left="113"/>
              <w:rPr>
                <w:lang w:val="en-US"/>
              </w:rPr>
            </w:pPr>
            <w:r w:rsidRPr="00227C94">
              <w:rPr>
                <w:lang w:val="en-US"/>
              </w:rPr>
              <w:t>Weighted average number of ordinary shares in issue during the period (‘000s)</w:t>
            </w:r>
          </w:p>
        </w:tc>
        <w:tc>
          <w:tcPr>
            <w:tcW w:w="793" w:type="dxa"/>
            <w:vAlign w:val="bottom"/>
          </w:tcPr>
          <w:p w:rsidR="00916675" w:rsidRPr="00227C94" w:rsidRDefault="00916675" w:rsidP="000572BE">
            <w:pPr>
              <w:pStyle w:val="tblNumber01"/>
              <w:rPr>
                <w:lang w:val="en-US"/>
              </w:rPr>
            </w:pPr>
          </w:p>
        </w:tc>
        <w:tc>
          <w:tcPr>
            <w:tcW w:w="1417" w:type="dxa"/>
            <w:tcBorders>
              <w:top w:val="nil"/>
              <w:bottom w:val="nil"/>
            </w:tcBorders>
            <w:vAlign w:val="bottom"/>
          </w:tcPr>
          <w:p w:rsidR="00916675" w:rsidRPr="00227C94" w:rsidRDefault="00916675" w:rsidP="000572BE">
            <w:pPr>
              <w:pStyle w:val="tblNumber01"/>
            </w:pPr>
            <w:r w:rsidRPr="00227C94">
              <w:t>2,868,789</w:t>
            </w:r>
          </w:p>
        </w:tc>
        <w:tc>
          <w:tcPr>
            <w:tcW w:w="283" w:type="dxa"/>
            <w:vAlign w:val="bottom"/>
          </w:tcPr>
          <w:p w:rsidR="00916675" w:rsidRPr="00227C94" w:rsidRDefault="00916675" w:rsidP="000572BE">
            <w:pPr>
              <w:pStyle w:val="tblNumber01"/>
            </w:pPr>
          </w:p>
        </w:tc>
        <w:tc>
          <w:tcPr>
            <w:tcW w:w="1417" w:type="dxa"/>
            <w:tcBorders>
              <w:top w:val="nil"/>
              <w:bottom w:val="nil"/>
            </w:tcBorders>
            <w:vAlign w:val="bottom"/>
          </w:tcPr>
          <w:p w:rsidR="00916675" w:rsidRPr="00227C94" w:rsidRDefault="00916675" w:rsidP="000572BE">
            <w:pPr>
              <w:pStyle w:val="tblNumber01"/>
            </w:pPr>
            <w:r w:rsidRPr="00227C94">
              <w:t>3,082,656</w:t>
            </w:r>
          </w:p>
        </w:tc>
        <w:tc>
          <w:tcPr>
            <w:tcW w:w="283" w:type="dxa"/>
            <w:vAlign w:val="bottom"/>
          </w:tcPr>
          <w:p w:rsidR="00916675" w:rsidRPr="00227C94" w:rsidRDefault="00916675" w:rsidP="000572BE">
            <w:pPr>
              <w:pStyle w:val="tblNumber01"/>
            </w:pPr>
          </w:p>
        </w:tc>
        <w:tc>
          <w:tcPr>
            <w:tcW w:w="1417" w:type="dxa"/>
            <w:tcBorders>
              <w:top w:val="nil"/>
              <w:bottom w:val="nil"/>
            </w:tcBorders>
            <w:vAlign w:val="bottom"/>
          </w:tcPr>
          <w:p w:rsidR="00916675" w:rsidRPr="00227C94" w:rsidRDefault="00916675" w:rsidP="000572BE">
            <w:pPr>
              <w:pStyle w:val="tblNumber01"/>
            </w:pPr>
            <w:r w:rsidRPr="00227C94">
              <w:t>2,960,311</w:t>
            </w:r>
          </w:p>
        </w:tc>
      </w:tr>
      <w:tr w:rsidR="00916675" w:rsidRPr="00227C94" w:rsidTr="000572BE">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nil"/>
              <w:bottom w:val="nil"/>
            </w:tcBorders>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nil"/>
              <w:bottom w:val="nil"/>
            </w:tcBorders>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nil"/>
              <w:bottom w:val="nil"/>
            </w:tcBorders>
            <w:vAlign w:val="bottom"/>
          </w:tcPr>
          <w:p w:rsidR="00916675" w:rsidRPr="00227C94" w:rsidRDefault="00916675" w:rsidP="000572BE">
            <w:pPr>
              <w:pStyle w:val="tblNumber01"/>
            </w:pPr>
          </w:p>
        </w:tc>
      </w:tr>
      <w:tr w:rsidR="00916675" w:rsidRPr="00227C94" w:rsidTr="000572BE">
        <w:trPr>
          <w:cantSplit/>
        </w:trPr>
        <w:tc>
          <w:tcPr>
            <w:tcW w:w="3802" w:type="dxa"/>
            <w:tcBorders>
              <w:bottom w:val="nil"/>
            </w:tcBorders>
          </w:tcPr>
          <w:p w:rsidR="00916675" w:rsidRPr="00227C94" w:rsidRDefault="00916675" w:rsidP="000572BE">
            <w:pPr>
              <w:pStyle w:val="tblText05"/>
              <w:ind w:left="113"/>
              <w:rPr>
                <w:lang w:val="en-US"/>
              </w:rPr>
            </w:pPr>
            <w:r w:rsidRPr="00227C94">
              <w:rPr>
                <w:lang w:val="en-US"/>
              </w:rPr>
              <w:t>Earnings (loss) per share (US Cents) *</w:t>
            </w:r>
          </w:p>
        </w:tc>
        <w:tc>
          <w:tcPr>
            <w:tcW w:w="793" w:type="dxa"/>
            <w:tcBorders>
              <w:bottom w:val="nil"/>
            </w:tcBorders>
            <w:vAlign w:val="bottom"/>
          </w:tcPr>
          <w:p w:rsidR="00916675" w:rsidRPr="00227C94" w:rsidRDefault="00916675" w:rsidP="000572BE">
            <w:pPr>
              <w:pStyle w:val="tblNumber01"/>
              <w:rPr>
                <w:lang w:val="en-US"/>
              </w:rPr>
            </w:pPr>
          </w:p>
        </w:tc>
        <w:tc>
          <w:tcPr>
            <w:tcW w:w="1417" w:type="dxa"/>
            <w:tcBorders>
              <w:top w:val="nil"/>
              <w:bottom w:val="nil"/>
            </w:tcBorders>
            <w:vAlign w:val="bottom"/>
          </w:tcPr>
          <w:p w:rsidR="00916675" w:rsidRPr="00227C94" w:rsidRDefault="00916675" w:rsidP="000572BE">
            <w:pPr>
              <w:pStyle w:val="tblNumber01"/>
              <w:rPr>
                <w:lang w:val="en-US"/>
              </w:rPr>
            </w:pPr>
          </w:p>
        </w:tc>
        <w:tc>
          <w:tcPr>
            <w:tcW w:w="283" w:type="dxa"/>
            <w:tcBorders>
              <w:bottom w:val="nil"/>
            </w:tcBorders>
            <w:vAlign w:val="bottom"/>
          </w:tcPr>
          <w:p w:rsidR="00916675" w:rsidRPr="00227C94" w:rsidRDefault="00916675" w:rsidP="000572BE">
            <w:pPr>
              <w:pStyle w:val="tblNumber01"/>
              <w:rPr>
                <w:lang w:val="en-US"/>
              </w:rPr>
            </w:pPr>
          </w:p>
        </w:tc>
        <w:tc>
          <w:tcPr>
            <w:tcW w:w="1417" w:type="dxa"/>
            <w:tcBorders>
              <w:top w:val="nil"/>
              <w:bottom w:val="nil"/>
            </w:tcBorders>
            <w:vAlign w:val="bottom"/>
          </w:tcPr>
          <w:p w:rsidR="00916675" w:rsidRPr="00227C94" w:rsidRDefault="00916675" w:rsidP="000572BE">
            <w:pPr>
              <w:pStyle w:val="tblNumber01"/>
              <w:rPr>
                <w:lang w:val="en-US"/>
              </w:rPr>
            </w:pPr>
          </w:p>
        </w:tc>
        <w:tc>
          <w:tcPr>
            <w:tcW w:w="283" w:type="dxa"/>
            <w:tcBorders>
              <w:bottom w:val="nil"/>
            </w:tcBorders>
            <w:vAlign w:val="bottom"/>
          </w:tcPr>
          <w:p w:rsidR="00916675" w:rsidRPr="00227C94" w:rsidRDefault="00916675" w:rsidP="000572BE">
            <w:pPr>
              <w:pStyle w:val="tblNumber01"/>
              <w:rPr>
                <w:lang w:val="en-US"/>
              </w:rPr>
            </w:pPr>
          </w:p>
        </w:tc>
        <w:tc>
          <w:tcPr>
            <w:tcW w:w="1417" w:type="dxa"/>
            <w:tcBorders>
              <w:top w:val="nil"/>
              <w:bottom w:val="nil"/>
            </w:tcBorders>
            <w:vAlign w:val="bottom"/>
          </w:tcPr>
          <w:p w:rsidR="00916675" w:rsidRPr="00227C94" w:rsidRDefault="00916675" w:rsidP="000572BE">
            <w:pPr>
              <w:pStyle w:val="tblNumber01"/>
              <w:rPr>
                <w:lang w:val="en-US"/>
              </w:rPr>
            </w:pPr>
          </w:p>
        </w:tc>
      </w:tr>
      <w:tr w:rsidR="00916675" w:rsidRPr="00227C94" w:rsidTr="000572BE">
        <w:trPr>
          <w:cantSplit/>
        </w:trPr>
        <w:tc>
          <w:tcPr>
            <w:tcW w:w="3802" w:type="dxa"/>
            <w:tcBorders>
              <w:bottom w:val="nil"/>
            </w:tcBorders>
            <w:shd w:val="clear" w:color="auto" w:fill="auto"/>
          </w:tcPr>
          <w:p w:rsidR="00916675" w:rsidRPr="00227C94" w:rsidRDefault="00916675" w:rsidP="000572BE">
            <w:pPr>
              <w:pStyle w:val="tblText05"/>
              <w:ind w:left="113"/>
            </w:pPr>
            <w:r w:rsidRPr="00227C94">
              <w:t>Basic and diluted</w:t>
            </w:r>
          </w:p>
        </w:tc>
        <w:tc>
          <w:tcPr>
            <w:tcW w:w="793" w:type="dxa"/>
            <w:tcBorders>
              <w:bottom w:val="nil"/>
            </w:tcBorders>
            <w:shd w:val="clear" w:color="auto" w:fill="auto"/>
            <w:vAlign w:val="bottom"/>
          </w:tcPr>
          <w:p w:rsidR="00916675" w:rsidRPr="00227C94" w:rsidRDefault="00916675" w:rsidP="000572BE">
            <w:pPr>
              <w:pStyle w:val="tblNumber01"/>
            </w:pPr>
          </w:p>
        </w:tc>
        <w:tc>
          <w:tcPr>
            <w:tcW w:w="1417" w:type="dxa"/>
            <w:tcBorders>
              <w:top w:val="nil"/>
              <w:bottom w:val="nil"/>
            </w:tcBorders>
            <w:shd w:val="clear" w:color="auto" w:fill="auto"/>
            <w:vAlign w:val="bottom"/>
          </w:tcPr>
          <w:p w:rsidR="00916675" w:rsidRPr="00227C94" w:rsidRDefault="00916675" w:rsidP="000572BE">
            <w:pPr>
              <w:pStyle w:val="tblNumber01"/>
            </w:pPr>
            <w:r w:rsidRPr="00227C94">
              <w:t>14</w:t>
            </w:r>
          </w:p>
        </w:tc>
        <w:tc>
          <w:tcPr>
            <w:tcW w:w="283" w:type="dxa"/>
            <w:tcBorders>
              <w:bottom w:val="nil"/>
            </w:tcBorders>
            <w:shd w:val="clear" w:color="auto" w:fill="auto"/>
            <w:vAlign w:val="bottom"/>
          </w:tcPr>
          <w:p w:rsidR="00916675" w:rsidRPr="00227C94" w:rsidRDefault="00916675" w:rsidP="000572BE">
            <w:pPr>
              <w:pStyle w:val="tblNumber01"/>
            </w:pPr>
          </w:p>
        </w:tc>
        <w:tc>
          <w:tcPr>
            <w:tcW w:w="1417" w:type="dxa"/>
            <w:tcBorders>
              <w:top w:val="nil"/>
              <w:bottom w:val="nil"/>
            </w:tcBorders>
            <w:shd w:val="clear" w:color="auto" w:fill="auto"/>
            <w:vAlign w:val="bottom"/>
          </w:tcPr>
          <w:p w:rsidR="00916675" w:rsidRPr="00227C94" w:rsidRDefault="00916675" w:rsidP="000572BE">
            <w:pPr>
              <w:pStyle w:val="tblNumber01"/>
            </w:pPr>
            <w:r w:rsidRPr="00227C94">
              <w:t>6</w:t>
            </w:r>
          </w:p>
        </w:tc>
        <w:tc>
          <w:tcPr>
            <w:tcW w:w="283" w:type="dxa"/>
            <w:tcBorders>
              <w:bottom w:val="nil"/>
            </w:tcBorders>
            <w:shd w:val="clear" w:color="auto" w:fill="auto"/>
            <w:vAlign w:val="bottom"/>
          </w:tcPr>
          <w:p w:rsidR="00916675" w:rsidRPr="00227C94" w:rsidRDefault="00916675" w:rsidP="000572BE">
            <w:pPr>
              <w:pStyle w:val="tblNumber01"/>
            </w:pPr>
          </w:p>
        </w:tc>
        <w:tc>
          <w:tcPr>
            <w:tcW w:w="1417" w:type="dxa"/>
            <w:tcBorders>
              <w:top w:val="nil"/>
              <w:bottom w:val="nil"/>
            </w:tcBorders>
            <w:shd w:val="clear" w:color="auto" w:fill="auto"/>
            <w:vAlign w:val="bottom"/>
          </w:tcPr>
          <w:p w:rsidR="00916675" w:rsidRPr="00227C94" w:rsidRDefault="00916675" w:rsidP="000572BE">
            <w:pPr>
              <w:pStyle w:val="tblNumber01"/>
            </w:pPr>
            <w:r w:rsidRPr="00227C94">
              <w:t>16</w:t>
            </w:r>
          </w:p>
        </w:tc>
      </w:tr>
    </w:tbl>
    <w:p w:rsidR="000572BE" w:rsidRPr="00227C94" w:rsidRDefault="000572BE" w:rsidP="000572BE">
      <w:pPr>
        <w:pStyle w:val="34"/>
      </w:pPr>
      <w:r w:rsidRPr="00227C94">
        <w:t>_______</w:t>
      </w:r>
      <w:r w:rsidRPr="00227C94">
        <w:rPr>
          <w:lang w:val="en-US"/>
        </w:rPr>
        <w:t>____________</w:t>
      </w:r>
      <w:r w:rsidRPr="00227C94">
        <w:t>_________</w:t>
      </w:r>
    </w:p>
    <w:p w:rsidR="00916675" w:rsidRPr="00227C94" w:rsidRDefault="00916675" w:rsidP="000572BE">
      <w:pPr>
        <w:pStyle w:val="34"/>
        <w:rPr>
          <w:spacing w:val="-2"/>
          <w:lang w:val="en-US"/>
        </w:rPr>
      </w:pPr>
      <w:r w:rsidRPr="00227C94">
        <w:rPr>
          <w:spacing w:val="-2"/>
          <w:lang w:val="en-US"/>
        </w:rPr>
        <w:t>* There were no financial instruments or any other instances which could cause antidilutive effect on earnings per share calculation.</w:t>
      </w:r>
    </w:p>
    <w:p w:rsidR="00916675" w:rsidRPr="00227C94" w:rsidRDefault="00916675" w:rsidP="00916675"/>
    <w:p w:rsidR="00916675" w:rsidRPr="00227C94" w:rsidRDefault="000572BE" w:rsidP="000572BE">
      <w:pPr>
        <w:pStyle w:val="ZX1CompanyName12"/>
        <w:rPr>
          <w:lang w:val="en-US"/>
        </w:rPr>
      </w:pPr>
      <w:r w:rsidRPr="00227C94">
        <w:rPr>
          <w:lang w:val="en-US"/>
        </w:rPr>
        <w:br w:type="page"/>
      </w:r>
      <w:r w:rsidR="00916675" w:rsidRPr="00227C94">
        <w:rPr>
          <w:lang w:val="en-US"/>
        </w:rPr>
        <w:lastRenderedPageBreak/>
        <w:t>POLYUS GOLD International Limited</w:t>
      </w:r>
    </w:p>
    <w:p w:rsidR="00916675" w:rsidRPr="00227C94" w:rsidRDefault="00916675" w:rsidP="000572BE">
      <w:pPr>
        <w:pStyle w:val="ZX1CompanyName12"/>
        <w:rPr>
          <w:lang w:val="en-US"/>
        </w:rPr>
      </w:pPr>
    </w:p>
    <w:p w:rsidR="00916675" w:rsidRPr="00227C94" w:rsidRDefault="00916675" w:rsidP="000572BE">
      <w:pPr>
        <w:pStyle w:val="ZX2Subhead"/>
        <w:rPr>
          <w:lang w:val="en-US"/>
        </w:rPr>
      </w:pPr>
      <w:r w:rsidRPr="00227C94">
        <w:rPr>
          <w:lang w:val="en-US"/>
        </w:rPr>
        <w:t>condensed CONSOLIDATED interim statement of comprehensive income</w:t>
      </w:r>
    </w:p>
    <w:p w:rsidR="00916675" w:rsidRPr="00227C94" w:rsidRDefault="00916675" w:rsidP="000572BE">
      <w:pPr>
        <w:pStyle w:val="ZX2Subhead"/>
        <w:rPr>
          <w:lang w:val="en-US"/>
        </w:rPr>
      </w:pPr>
      <w:r w:rsidRPr="00227C94">
        <w:rPr>
          <w:lang w:val="en-US"/>
        </w:rPr>
        <w:t>FOR the six months ended 30 June 2012</w:t>
      </w:r>
    </w:p>
    <w:p w:rsidR="00916675" w:rsidRPr="00227C94" w:rsidRDefault="00916675" w:rsidP="000572BE">
      <w:pPr>
        <w:pStyle w:val="ZX3Currency"/>
        <w:rPr>
          <w:lang w:val="en-US"/>
        </w:rPr>
      </w:pPr>
      <w:r w:rsidRPr="00227C94">
        <w:rPr>
          <w:lang w:val="en-US"/>
        </w:rPr>
        <w:t>(</w:t>
      </w:r>
      <w:proofErr w:type="gramStart"/>
      <w:r w:rsidRPr="00227C94">
        <w:rPr>
          <w:lang w:val="en-US"/>
        </w:rPr>
        <w:t>in</w:t>
      </w:r>
      <w:proofErr w:type="gramEnd"/>
      <w:r w:rsidRPr="00227C94">
        <w:rPr>
          <w:lang w:val="en-US"/>
        </w:rPr>
        <w:t xml:space="preserve"> thousands of US Dollars)</w:t>
      </w:r>
    </w:p>
    <w:p w:rsidR="00916675" w:rsidRPr="00227C94" w:rsidRDefault="00916675" w:rsidP="000572BE">
      <w:pPr>
        <w:pStyle w:val="a4"/>
        <w:rPr>
          <w:lang w:val="en-US"/>
        </w:rPr>
      </w:pPr>
    </w:p>
    <w:tbl>
      <w:tblPr>
        <w:tblW w:w="9412" w:type="dxa"/>
        <w:tblLayout w:type="fixed"/>
        <w:tblCellMar>
          <w:left w:w="0" w:type="dxa"/>
          <w:right w:w="0" w:type="dxa"/>
        </w:tblCellMar>
        <w:tblLook w:val="0000" w:firstRow="0" w:lastRow="0" w:firstColumn="0" w:lastColumn="0" w:noHBand="0" w:noVBand="0"/>
      </w:tblPr>
      <w:tblGrid>
        <w:gridCol w:w="3802"/>
        <w:gridCol w:w="793"/>
        <w:gridCol w:w="1417"/>
        <w:gridCol w:w="283"/>
        <w:gridCol w:w="1417"/>
        <w:gridCol w:w="283"/>
        <w:gridCol w:w="1417"/>
      </w:tblGrid>
      <w:tr w:rsidR="00916675" w:rsidRPr="00227C94" w:rsidTr="00A701F4">
        <w:trPr>
          <w:cantSplit/>
        </w:trPr>
        <w:tc>
          <w:tcPr>
            <w:tcW w:w="3802" w:type="dxa"/>
            <w:vAlign w:val="bottom"/>
          </w:tcPr>
          <w:p w:rsidR="00916675" w:rsidRPr="00227C94" w:rsidRDefault="00916675" w:rsidP="000572BE">
            <w:pPr>
              <w:pStyle w:val="tblHeaderText"/>
              <w:jc w:val="left"/>
              <w:rPr>
                <w:lang w:val="en-US"/>
              </w:rPr>
            </w:pPr>
          </w:p>
        </w:tc>
        <w:tc>
          <w:tcPr>
            <w:tcW w:w="793" w:type="dxa"/>
          </w:tcPr>
          <w:p w:rsidR="00916675" w:rsidRPr="00227C94" w:rsidRDefault="00916675" w:rsidP="000572BE">
            <w:pPr>
              <w:pStyle w:val="tblHeaderText"/>
            </w:pPr>
            <w:r w:rsidRPr="00227C94">
              <w:t>Notes</w:t>
            </w:r>
          </w:p>
        </w:tc>
        <w:tc>
          <w:tcPr>
            <w:tcW w:w="1417" w:type="dxa"/>
            <w:tcBorders>
              <w:bottom w:val="single" w:sz="6" w:space="0" w:color="auto"/>
            </w:tcBorders>
            <w:shd w:val="clear" w:color="auto" w:fill="auto"/>
            <w:vAlign w:val="bottom"/>
          </w:tcPr>
          <w:p w:rsidR="00916675" w:rsidRPr="00227C94" w:rsidRDefault="00916675" w:rsidP="000572BE">
            <w:pPr>
              <w:pStyle w:val="tblHeaderText"/>
              <w:rPr>
                <w:lang w:val="en-US"/>
              </w:rPr>
            </w:pPr>
            <w:r w:rsidRPr="00227C94">
              <w:rPr>
                <w:lang w:val="en-US"/>
              </w:rPr>
              <w:t>Six months ended 30 June 2012</w:t>
            </w:r>
          </w:p>
          <w:p w:rsidR="00916675" w:rsidRPr="00227C94" w:rsidRDefault="00916675" w:rsidP="000572BE">
            <w:pPr>
              <w:pStyle w:val="tblHeaderText"/>
              <w:rPr>
                <w:lang w:val="en-US"/>
              </w:rPr>
            </w:pPr>
            <w:r w:rsidRPr="00227C94">
              <w:rPr>
                <w:lang w:val="en-US"/>
              </w:rPr>
              <w:t>(unaudited)</w:t>
            </w:r>
          </w:p>
        </w:tc>
        <w:tc>
          <w:tcPr>
            <w:tcW w:w="283" w:type="dxa"/>
            <w:shd w:val="clear" w:color="auto" w:fill="auto"/>
          </w:tcPr>
          <w:p w:rsidR="00916675" w:rsidRPr="00227C94" w:rsidRDefault="00916675" w:rsidP="000572BE">
            <w:pPr>
              <w:pStyle w:val="tblHeaderText"/>
              <w:rPr>
                <w:lang w:val="en-US"/>
              </w:rPr>
            </w:pPr>
          </w:p>
        </w:tc>
        <w:tc>
          <w:tcPr>
            <w:tcW w:w="1417" w:type="dxa"/>
            <w:tcBorders>
              <w:bottom w:val="single" w:sz="6" w:space="0" w:color="auto"/>
            </w:tcBorders>
            <w:shd w:val="clear" w:color="auto" w:fill="auto"/>
            <w:vAlign w:val="bottom"/>
          </w:tcPr>
          <w:p w:rsidR="00916675" w:rsidRPr="00227C94" w:rsidRDefault="00916675" w:rsidP="000572BE">
            <w:pPr>
              <w:pStyle w:val="tblHeaderText"/>
              <w:rPr>
                <w:lang w:val="en-US"/>
              </w:rPr>
            </w:pPr>
            <w:r w:rsidRPr="00227C94">
              <w:rPr>
                <w:lang w:val="en-US"/>
              </w:rPr>
              <w:t>Six months ended 30 June 2011</w:t>
            </w:r>
          </w:p>
          <w:p w:rsidR="00916675" w:rsidRPr="00227C94" w:rsidRDefault="00916675" w:rsidP="000572BE">
            <w:pPr>
              <w:pStyle w:val="tblHeaderText"/>
              <w:rPr>
                <w:lang w:val="en-US"/>
              </w:rPr>
            </w:pPr>
            <w:r w:rsidRPr="00227C94">
              <w:rPr>
                <w:lang w:val="en-US"/>
              </w:rPr>
              <w:t>(unaudited)</w:t>
            </w:r>
          </w:p>
        </w:tc>
        <w:tc>
          <w:tcPr>
            <w:tcW w:w="283" w:type="dxa"/>
            <w:shd w:val="clear" w:color="auto" w:fill="auto"/>
          </w:tcPr>
          <w:p w:rsidR="00916675" w:rsidRPr="00227C94" w:rsidRDefault="00916675" w:rsidP="000572BE">
            <w:pPr>
              <w:pStyle w:val="tblHeaderText"/>
              <w:rPr>
                <w:lang w:val="en-US"/>
              </w:rPr>
            </w:pPr>
          </w:p>
        </w:tc>
        <w:tc>
          <w:tcPr>
            <w:tcW w:w="1417" w:type="dxa"/>
            <w:tcBorders>
              <w:bottom w:val="single" w:sz="6" w:space="0" w:color="auto"/>
            </w:tcBorders>
            <w:shd w:val="clear" w:color="auto" w:fill="auto"/>
          </w:tcPr>
          <w:p w:rsidR="00916675" w:rsidRPr="00227C94" w:rsidRDefault="00916675" w:rsidP="000572BE">
            <w:pPr>
              <w:pStyle w:val="tblHeaderText"/>
            </w:pPr>
            <w:r w:rsidRPr="00227C94">
              <w:t>Year ended</w:t>
            </w:r>
          </w:p>
          <w:p w:rsidR="00916675" w:rsidRPr="00227C94" w:rsidRDefault="00916675" w:rsidP="000572BE">
            <w:pPr>
              <w:pStyle w:val="tblHeaderText"/>
            </w:pPr>
            <w:r w:rsidRPr="00227C94">
              <w:t>31 December 2011</w:t>
            </w:r>
          </w:p>
          <w:p w:rsidR="00916675" w:rsidRPr="00227C94" w:rsidRDefault="00916675" w:rsidP="000572BE">
            <w:pPr>
              <w:pStyle w:val="tblHeaderText"/>
            </w:pPr>
            <w:r w:rsidRPr="00227C94">
              <w:t>(audited)</w:t>
            </w:r>
          </w:p>
        </w:tc>
      </w:tr>
      <w:tr w:rsidR="00916675" w:rsidRPr="00227C94" w:rsidTr="000572BE">
        <w:trPr>
          <w:cantSplit/>
        </w:trPr>
        <w:tc>
          <w:tcPr>
            <w:tcW w:w="3802" w:type="dxa"/>
            <w:vAlign w:val="bottom"/>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A701F4">
        <w:trPr>
          <w:cantSplit/>
        </w:trPr>
        <w:tc>
          <w:tcPr>
            <w:tcW w:w="3802" w:type="dxa"/>
            <w:vAlign w:val="bottom"/>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A701F4">
        <w:trPr>
          <w:cantSplit/>
        </w:trPr>
        <w:tc>
          <w:tcPr>
            <w:tcW w:w="3802" w:type="dxa"/>
            <w:vAlign w:val="bottom"/>
          </w:tcPr>
          <w:p w:rsidR="00916675" w:rsidRPr="00227C94" w:rsidRDefault="00916675" w:rsidP="000572BE">
            <w:pPr>
              <w:pStyle w:val="tblText02"/>
              <w:rPr>
                <w:b/>
                <w:lang w:val="en-US"/>
              </w:rPr>
            </w:pPr>
            <w:r w:rsidRPr="00227C94">
              <w:rPr>
                <w:b/>
                <w:lang w:val="en-US"/>
              </w:rPr>
              <w:t>Profit for the period / year</w:t>
            </w:r>
          </w:p>
        </w:tc>
        <w:tc>
          <w:tcPr>
            <w:tcW w:w="793" w:type="dxa"/>
            <w:vAlign w:val="bottom"/>
          </w:tcPr>
          <w:p w:rsidR="00916675" w:rsidRPr="00227C94" w:rsidRDefault="00916675" w:rsidP="000572BE">
            <w:pPr>
              <w:pStyle w:val="tblNumber01"/>
              <w:rPr>
                <w:lang w:val="en-US"/>
              </w:rPr>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425,896</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206,800</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558,015</w:t>
            </w:r>
          </w:p>
        </w:tc>
      </w:tr>
      <w:tr w:rsidR="00916675" w:rsidRPr="00227C94" w:rsidTr="000572BE">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2"/>
              <w:rPr>
                <w:lang w:val="en-US"/>
              </w:rPr>
            </w:pPr>
            <w:r w:rsidRPr="00227C94">
              <w:rPr>
                <w:lang w:val="en-US"/>
              </w:rPr>
              <w:t>Available for sale financial assets:</w:t>
            </w:r>
          </w:p>
        </w:tc>
        <w:tc>
          <w:tcPr>
            <w:tcW w:w="793" w:type="dxa"/>
            <w:vAlign w:val="bottom"/>
          </w:tcPr>
          <w:p w:rsidR="00916675" w:rsidRPr="00227C94" w:rsidRDefault="00916675" w:rsidP="000572BE">
            <w:pPr>
              <w:pStyle w:val="tblNumber01"/>
              <w:rPr>
                <w:lang w:val="en-US"/>
              </w:rPr>
            </w:pPr>
          </w:p>
        </w:tc>
        <w:tc>
          <w:tcPr>
            <w:tcW w:w="1417" w:type="dxa"/>
            <w:vAlign w:val="bottom"/>
          </w:tcPr>
          <w:p w:rsidR="00916675" w:rsidRPr="00227C94" w:rsidRDefault="00916675" w:rsidP="000572BE">
            <w:pPr>
              <w:pStyle w:val="tblNumber01"/>
              <w:rPr>
                <w:lang w:val="en-US"/>
              </w:rPr>
            </w:pPr>
          </w:p>
        </w:tc>
        <w:tc>
          <w:tcPr>
            <w:tcW w:w="283" w:type="dxa"/>
            <w:vAlign w:val="bottom"/>
          </w:tcPr>
          <w:p w:rsidR="00916675" w:rsidRPr="00227C94" w:rsidRDefault="00916675" w:rsidP="000572BE">
            <w:pPr>
              <w:pStyle w:val="tblNumber01"/>
              <w:rPr>
                <w:lang w:val="en-US"/>
              </w:rPr>
            </w:pPr>
          </w:p>
        </w:tc>
        <w:tc>
          <w:tcPr>
            <w:tcW w:w="1417" w:type="dxa"/>
            <w:vAlign w:val="bottom"/>
          </w:tcPr>
          <w:p w:rsidR="00916675" w:rsidRPr="00227C94" w:rsidRDefault="00916675" w:rsidP="000572BE">
            <w:pPr>
              <w:pStyle w:val="tblNumber01"/>
              <w:rPr>
                <w:lang w:val="en-US"/>
              </w:rPr>
            </w:pPr>
          </w:p>
        </w:tc>
        <w:tc>
          <w:tcPr>
            <w:tcW w:w="283" w:type="dxa"/>
            <w:vAlign w:val="bottom"/>
          </w:tcPr>
          <w:p w:rsidR="00916675" w:rsidRPr="00227C94" w:rsidRDefault="00916675" w:rsidP="000572BE">
            <w:pPr>
              <w:pStyle w:val="tblNumber01"/>
              <w:rPr>
                <w:lang w:val="en-US"/>
              </w:rPr>
            </w:pPr>
          </w:p>
        </w:tc>
        <w:tc>
          <w:tcPr>
            <w:tcW w:w="1417" w:type="dxa"/>
            <w:vAlign w:val="bottom"/>
          </w:tcPr>
          <w:p w:rsidR="00916675" w:rsidRPr="00227C94" w:rsidRDefault="00916675" w:rsidP="000572BE">
            <w:pPr>
              <w:pStyle w:val="tblNumber01"/>
              <w:rPr>
                <w:lang w:val="en-US"/>
              </w:rPr>
            </w:pPr>
          </w:p>
        </w:tc>
      </w:tr>
      <w:tr w:rsidR="00916675" w:rsidRPr="00227C94" w:rsidTr="00A701F4">
        <w:trPr>
          <w:cantSplit/>
        </w:trPr>
        <w:tc>
          <w:tcPr>
            <w:tcW w:w="3802" w:type="dxa"/>
          </w:tcPr>
          <w:p w:rsidR="00916675" w:rsidRPr="00227C94" w:rsidRDefault="00916675" w:rsidP="000572BE">
            <w:pPr>
              <w:pStyle w:val="tblText02"/>
              <w:rPr>
                <w:lang w:val="en-US"/>
              </w:rPr>
            </w:pPr>
            <w:r w:rsidRPr="00227C94">
              <w:rPr>
                <w:lang w:val="en-US"/>
              </w:rPr>
              <w:t>(Loss)/gain from change in fair value of available-for-sale investments</w:t>
            </w:r>
          </w:p>
        </w:tc>
        <w:tc>
          <w:tcPr>
            <w:tcW w:w="793" w:type="dxa"/>
            <w:vAlign w:val="bottom"/>
          </w:tcPr>
          <w:p w:rsidR="00916675" w:rsidRPr="00227C94" w:rsidRDefault="00916675" w:rsidP="000572BE">
            <w:pPr>
              <w:pStyle w:val="tblNumber01"/>
              <w:rPr>
                <w:lang w:val="en-US"/>
              </w:rPr>
            </w:pPr>
          </w:p>
        </w:tc>
        <w:tc>
          <w:tcPr>
            <w:tcW w:w="1417" w:type="dxa"/>
            <w:vAlign w:val="bottom"/>
          </w:tcPr>
          <w:p w:rsidR="00916675" w:rsidRPr="00227C94" w:rsidRDefault="00916675" w:rsidP="000572BE">
            <w:pPr>
              <w:pStyle w:val="tblNumber00"/>
            </w:pPr>
            <w:r w:rsidRPr="00227C94">
              <w:t>(1,791)</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(410)</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(8,976)</w:t>
            </w:r>
          </w:p>
        </w:tc>
      </w:tr>
      <w:tr w:rsidR="00916675" w:rsidRPr="00227C94" w:rsidTr="00A701F4">
        <w:trPr>
          <w:cantSplit/>
        </w:trPr>
        <w:tc>
          <w:tcPr>
            <w:tcW w:w="3802" w:type="dxa"/>
          </w:tcPr>
          <w:p w:rsidR="00916675" w:rsidRPr="00227C94" w:rsidRDefault="00916675" w:rsidP="000572BE">
            <w:pPr>
              <w:pStyle w:val="tblText02"/>
              <w:rPr>
                <w:lang w:val="en-US"/>
              </w:rPr>
            </w:pPr>
            <w:r w:rsidRPr="00227C94">
              <w:rPr>
                <w:lang w:val="en-US"/>
              </w:rPr>
              <w:t>Losses recycled to profit or loss on disposal or impairment of available-for-sale investments</w:t>
            </w:r>
          </w:p>
        </w:tc>
        <w:tc>
          <w:tcPr>
            <w:tcW w:w="793" w:type="dxa"/>
            <w:vAlign w:val="bottom"/>
          </w:tcPr>
          <w:p w:rsidR="00916675" w:rsidRPr="00227C94" w:rsidRDefault="00916675" w:rsidP="000572BE">
            <w:pPr>
              <w:pStyle w:val="tblNumber01"/>
              <w:jc w:val="center"/>
            </w:pPr>
            <w:r w:rsidRPr="00227C94">
              <w:t>9</w:t>
            </w:r>
          </w:p>
        </w:tc>
        <w:tc>
          <w:tcPr>
            <w:tcW w:w="1417" w:type="dxa"/>
            <w:tcBorders>
              <w:bottom w:val="single" w:sz="6" w:space="0" w:color="auto"/>
            </w:tcBorders>
            <w:shd w:val="clear" w:color="auto" w:fill="auto"/>
            <w:vAlign w:val="bottom"/>
          </w:tcPr>
          <w:p w:rsidR="00916675" w:rsidRPr="00227C94" w:rsidRDefault="00916675" w:rsidP="000572BE">
            <w:pPr>
              <w:pStyle w:val="tblNumberDash"/>
            </w:pPr>
            <w:r w:rsidRPr="00227C94">
              <w:t>-</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(17,023)</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(17,023)</w:t>
            </w:r>
          </w:p>
        </w:tc>
      </w:tr>
      <w:tr w:rsidR="00916675" w:rsidRPr="00227C94" w:rsidTr="000572BE">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vAlign w:val="bottom"/>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rPr>
                <w:b/>
              </w:rPr>
            </w:pPr>
            <w:r w:rsidRPr="00227C94">
              <w:rPr>
                <w:b/>
              </w:rPr>
              <w:t>(1,791)</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rPr>
                <w:b/>
              </w:rPr>
            </w:pPr>
            <w:r w:rsidRPr="00227C94">
              <w:rPr>
                <w:b/>
              </w:rPr>
              <w:t>(17,433)</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rPr>
                <w:b/>
              </w:rPr>
            </w:pPr>
            <w:r w:rsidRPr="00227C94">
              <w:rPr>
                <w:b/>
              </w:rPr>
              <w:t>(25,999)</w:t>
            </w:r>
          </w:p>
        </w:tc>
      </w:tr>
      <w:tr w:rsidR="00916675" w:rsidRPr="00227C94" w:rsidTr="00A701F4">
        <w:trPr>
          <w:cantSplit/>
        </w:trPr>
        <w:tc>
          <w:tcPr>
            <w:tcW w:w="3802" w:type="dxa"/>
            <w:vAlign w:val="bottom"/>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A701F4">
        <w:trPr>
          <w:cantSplit/>
        </w:trPr>
        <w:tc>
          <w:tcPr>
            <w:tcW w:w="3802" w:type="dxa"/>
            <w:vAlign w:val="bottom"/>
          </w:tcPr>
          <w:p w:rsidR="00916675" w:rsidRPr="00227C94" w:rsidRDefault="00916675" w:rsidP="000572BE">
            <w:pPr>
              <w:pStyle w:val="tblText02"/>
              <w:rPr>
                <w:lang w:val="en-US"/>
              </w:rPr>
            </w:pPr>
            <w:r w:rsidRPr="00227C94">
              <w:rPr>
                <w:lang w:val="en-US"/>
              </w:rPr>
              <w:t>Effect of translation to presentation currency</w:t>
            </w:r>
          </w:p>
        </w:tc>
        <w:tc>
          <w:tcPr>
            <w:tcW w:w="793" w:type="dxa"/>
            <w:vAlign w:val="bottom"/>
          </w:tcPr>
          <w:p w:rsidR="00916675" w:rsidRPr="00227C94" w:rsidRDefault="00916675" w:rsidP="000572BE">
            <w:pPr>
              <w:pStyle w:val="tblNumber01"/>
              <w:rPr>
                <w:lang w:val="en-US"/>
              </w:rPr>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(88,432)</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257,703</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(194,307)</w:t>
            </w:r>
          </w:p>
        </w:tc>
      </w:tr>
      <w:tr w:rsidR="00916675" w:rsidRPr="00227C94" w:rsidTr="00A701F4">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A701F4">
        <w:trPr>
          <w:cantSplit/>
        </w:trPr>
        <w:tc>
          <w:tcPr>
            <w:tcW w:w="3802" w:type="dxa"/>
          </w:tcPr>
          <w:p w:rsidR="00916675" w:rsidRPr="00227C94" w:rsidRDefault="00916675" w:rsidP="000572BE">
            <w:pPr>
              <w:pStyle w:val="tblText02"/>
              <w:rPr>
                <w:b/>
                <w:lang w:val="en-US"/>
              </w:rPr>
            </w:pPr>
            <w:r w:rsidRPr="00227C94">
              <w:rPr>
                <w:b/>
                <w:lang w:val="en-US"/>
              </w:rPr>
              <w:t xml:space="preserve">Other comprehensive (loss) / income </w:t>
            </w:r>
            <w:r w:rsidR="000572BE" w:rsidRPr="00227C94">
              <w:rPr>
                <w:b/>
                <w:lang w:val="en-US"/>
              </w:rPr>
              <w:br/>
            </w:r>
            <w:r w:rsidRPr="00227C94">
              <w:rPr>
                <w:b/>
                <w:lang w:val="en-US"/>
              </w:rPr>
              <w:t>for</w:t>
            </w:r>
            <w:r w:rsidR="000572BE" w:rsidRPr="00227C94">
              <w:rPr>
                <w:b/>
                <w:lang w:val="en-US"/>
              </w:rPr>
              <w:t xml:space="preserve"> </w:t>
            </w:r>
            <w:r w:rsidRPr="00227C94">
              <w:rPr>
                <w:b/>
                <w:lang w:val="en-US"/>
              </w:rPr>
              <w:t>the period / year</w:t>
            </w:r>
          </w:p>
        </w:tc>
        <w:tc>
          <w:tcPr>
            <w:tcW w:w="793" w:type="dxa"/>
            <w:vAlign w:val="bottom"/>
          </w:tcPr>
          <w:p w:rsidR="00916675" w:rsidRPr="00227C94" w:rsidRDefault="00916675" w:rsidP="000572BE">
            <w:pPr>
              <w:pStyle w:val="tblNumber01"/>
              <w:rPr>
                <w:lang w:val="en-US"/>
              </w:rPr>
            </w:pPr>
          </w:p>
        </w:tc>
        <w:tc>
          <w:tcPr>
            <w:tcW w:w="1417" w:type="dxa"/>
            <w:tcBorders>
              <w:bottom w:val="single" w:sz="6" w:space="0" w:color="auto"/>
            </w:tcBorders>
            <w:shd w:val="clear" w:color="auto" w:fill="auto"/>
            <w:vAlign w:val="bottom"/>
          </w:tcPr>
          <w:p w:rsidR="00916675" w:rsidRPr="00227C94" w:rsidRDefault="00916675" w:rsidP="000572BE">
            <w:pPr>
              <w:pStyle w:val="tblNumber00"/>
              <w:rPr>
                <w:b/>
              </w:rPr>
            </w:pPr>
            <w:r w:rsidRPr="00227C94">
              <w:rPr>
                <w:b/>
              </w:rPr>
              <w:t>(90,223)</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240,270</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rPr>
                <w:b/>
              </w:rPr>
            </w:pPr>
            <w:r w:rsidRPr="00227C94">
              <w:rPr>
                <w:b/>
              </w:rPr>
              <w:t>(220,306)</w:t>
            </w:r>
          </w:p>
        </w:tc>
      </w:tr>
      <w:tr w:rsidR="00916675" w:rsidRPr="00227C94" w:rsidTr="00A701F4">
        <w:trPr>
          <w:cantSplit/>
        </w:trPr>
        <w:tc>
          <w:tcPr>
            <w:tcW w:w="3802" w:type="dxa"/>
            <w:vAlign w:val="bottom"/>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A701F4">
        <w:trPr>
          <w:cantSplit/>
        </w:trPr>
        <w:tc>
          <w:tcPr>
            <w:tcW w:w="3802" w:type="dxa"/>
            <w:vAlign w:val="bottom"/>
          </w:tcPr>
          <w:p w:rsidR="00916675" w:rsidRPr="00227C94" w:rsidRDefault="00916675" w:rsidP="000572BE">
            <w:pPr>
              <w:pStyle w:val="tblText02"/>
              <w:rPr>
                <w:b/>
                <w:lang w:val="en-US"/>
              </w:rPr>
            </w:pPr>
            <w:r w:rsidRPr="00227C94">
              <w:rPr>
                <w:b/>
                <w:lang w:val="en-US"/>
              </w:rPr>
              <w:t xml:space="preserve">Total comprehensive income </w:t>
            </w:r>
            <w:r w:rsidR="000572BE" w:rsidRPr="00227C94">
              <w:rPr>
                <w:b/>
                <w:lang w:val="en-US"/>
              </w:rPr>
              <w:br/>
            </w:r>
            <w:r w:rsidRPr="00227C94">
              <w:rPr>
                <w:b/>
                <w:lang w:val="en-US"/>
              </w:rPr>
              <w:t>for the period / year</w:t>
            </w:r>
          </w:p>
        </w:tc>
        <w:tc>
          <w:tcPr>
            <w:tcW w:w="793" w:type="dxa"/>
            <w:vAlign w:val="bottom"/>
          </w:tcPr>
          <w:p w:rsidR="00916675" w:rsidRPr="00227C94" w:rsidRDefault="00916675" w:rsidP="000572BE">
            <w:pPr>
              <w:pStyle w:val="tblNumber01"/>
              <w:rPr>
                <w:lang w:val="en-US"/>
              </w:rPr>
            </w:pPr>
          </w:p>
        </w:tc>
        <w:tc>
          <w:tcPr>
            <w:tcW w:w="1417" w:type="dxa"/>
            <w:tcBorders>
              <w:bottom w:val="double" w:sz="6" w:space="0" w:color="auto"/>
            </w:tcBorders>
            <w:shd w:val="clear" w:color="auto" w:fill="auto"/>
            <w:vAlign w:val="bottom"/>
          </w:tcPr>
          <w:p w:rsidR="00916675" w:rsidRPr="00227C94" w:rsidRDefault="00916675" w:rsidP="000572BE">
            <w:pPr>
              <w:pStyle w:val="tblNumber01"/>
              <w:rPr>
                <w:b/>
              </w:rPr>
            </w:pPr>
            <w:r w:rsidRPr="00227C94">
              <w:rPr>
                <w:b/>
              </w:rPr>
              <w:t>335,673</w:t>
            </w:r>
          </w:p>
        </w:tc>
        <w:tc>
          <w:tcPr>
            <w:tcW w:w="283" w:type="dxa"/>
            <w:vAlign w:val="bottom"/>
          </w:tcPr>
          <w:p w:rsidR="00916675" w:rsidRPr="00227C94" w:rsidRDefault="00916675" w:rsidP="000572BE">
            <w:pPr>
              <w:pStyle w:val="tblNumber01"/>
            </w:pPr>
          </w:p>
        </w:tc>
        <w:tc>
          <w:tcPr>
            <w:tcW w:w="1417" w:type="dxa"/>
            <w:tcBorders>
              <w:bottom w:val="double" w:sz="6" w:space="0" w:color="auto"/>
            </w:tcBorders>
            <w:shd w:val="clear" w:color="auto" w:fill="auto"/>
            <w:vAlign w:val="bottom"/>
          </w:tcPr>
          <w:p w:rsidR="00916675" w:rsidRPr="00227C94" w:rsidRDefault="00916675" w:rsidP="000572BE">
            <w:pPr>
              <w:pStyle w:val="tblNumber01"/>
              <w:rPr>
                <w:b/>
              </w:rPr>
            </w:pPr>
            <w:r w:rsidRPr="00227C94">
              <w:rPr>
                <w:b/>
              </w:rPr>
              <w:t>447,070</w:t>
            </w:r>
          </w:p>
        </w:tc>
        <w:tc>
          <w:tcPr>
            <w:tcW w:w="283" w:type="dxa"/>
            <w:vAlign w:val="bottom"/>
          </w:tcPr>
          <w:p w:rsidR="00916675" w:rsidRPr="00227C94" w:rsidRDefault="00916675" w:rsidP="000572BE">
            <w:pPr>
              <w:pStyle w:val="tblNumber01"/>
            </w:pPr>
          </w:p>
        </w:tc>
        <w:tc>
          <w:tcPr>
            <w:tcW w:w="1417" w:type="dxa"/>
            <w:tcBorders>
              <w:bottom w:val="double" w:sz="6" w:space="0" w:color="auto"/>
            </w:tcBorders>
            <w:shd w:val="clear" w:color="auto" w:fill="auto"/>
            <w:vAlign w:val="bottom"/>
          </w:tcPr>
          <w:p w:rsidR="00916675" w:rsidRPr="00227C94" w:rsidRDefault="00916675" w:rsidP="000572BE">
            <w:pPr>
              <w:pStyle w:val="tblNumber01"/>
              <w:rPr>
                <w:b/>
              </w:rPr>
            </w:pPr>
            <w:r w:rsidRPr="00227C94">
              <w:rPr>
                <w:b/>
              </w:rPr>
              <w:t>337,709</w:t>
            </w:r>
          </w:p>
        </w:tc>
      </w:tr>
      <w:tr w:rsidR="00916675" w:rsidRPr="00227C94" w:rsidTr="000572BE">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doub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doub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double" w:sz="6" w:space="0" w:color="auto"/>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2"/>
            </w:pPr>
            <w:r w:rsidRPr="00227C94">
              <w:t>Attributable to:</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A701F4">
        <w:trPr>
          <w:cantSplit/>
        </w:trPr>
        <w:tc>
          <w:tcPr>
            <w:tcW w:w="3802" w:type="dxa"/>
          </w:tcPr>
          <w:p w:rsidR="00916675" w:rsidRPr="00227C94" w:rsidRDefault="00916675" w:rsidP="000572BE">
            <w:pPr>
              <w:pStyle w:val="tblText02"/>
              <w:ind w:left="397"/>
            </w:pPr>
            <w:r w:rsidRPr="00227C94">
              <w:t>Shareholders of the Company</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302,065</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415,942</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304,309</w:t>
            </w:r>
          </w:p>
        </w:tc>
      </w:tr>
      <w:tr w:rsidR="00916675" w:rsidRPr="00227C94" w:rsidTr="00A701F4">
        <w:trPr>
          <w:cantSplit/>
        </w:trPr>
        <w:tc>
          <w:tcPr>
            <w:tcW w:w="3802" w:type="dxa"/>
          </w:tcPr>
          <w:p w:rsidR="00916675" w:rsidRPr="00227C94" w:rsidRDefault="00916675" w:rsidP="000572BE">
            <w:pPr>
              <w:pStyle w:val="tblText02"/>
              <w:ind w:left="397"/>
            </w:pPr>
            <w:r w:rsidRPr="00227C94">
              <w:t>Non-controlling interests</w:t>
            </w: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33,608</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31,128</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33,400</w:t>
            </w:r>
          </w:p>
        </w:tc>
      </w:tr>
      <w:tr w:rsidR="00916675" w:rsidRPr="00227C94" w:rsidTr="00A701F4">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bottom w:val="double" w:sz="6" w:space="0" w:color="auto"/>
            </w:tcBorders>
            <w:shd w:val="clear" w:color="auto" w:fill="auto"/>
            <w:vAlign w:val="bottom"/>
          </w:tcPr>
          <w:p w:rsidR="00916675" w:rsidRPr="00227C94" w:rsidRDefault="00916675" w:rsidP="000572BE">
            <w:pPr>
              <w:pStyle w:val="tblNumber01"/>
              <w:rPr>
                <w:b/>
              </w:rPr>
            </w:pPr>
            <w:r w:rsidRPr="00227C94">
              <w:rPr>
                <w:b/>
              </w:rPr>
              <w:t>335,673</w:t>
            </w:r>
          </w:p>
        </w:tc>
        <w:tc>
          <w:tcPr>
            <w:tcW w:w="283" w:type="dxa"/>
            <w:vAlign w:val="bottom"/>
          </w:tcPr>
          <w:p w:rsidR="00916675" w:rsidRPr="00227C94" w:rsidRDefault="00916675" w:rsidP="000572BE">
            <w:pPr>
              <w:pStyle w:val="tblNumber01"/>
            </w:pPr>
          </w:p>
        </w:tc>
        <w:tc>
          <w:tcPr>
            <w:tcW w:w="1417" w:type="dxa"/>
            <w:tcBorders>
              <w:bottom w:val="double" w:sz="6" w:space="0" w:color="auto"/>
            </w:tcBorders>
            <w:shd w:val="clear" w:color="auto" w:fill="auto"/>
            <w:vAlign w:val="bottom"/>
          </w:tcPr>
          <w:p w:rsidR="00916675" w:rsidRPr="00227C94" w:rsidRDefault="00916675" w:rsidP="000572BE">
            <w:pPr>
              <w:pStyle w:val="tblNumber01"/>
              <w:rPr>
                <w:b/>
              </w:rPr>
            </w:pPr>
            <w:r w:rsidRPr="00227C94">
              <w:rPr>
                <w:b/>
              </w:rPr>
              <w:t>447,070</w:t>
            </w:r>
          </w:p>
        </w:tc>
        <w:tc>
          <w:tcPr>
            <w:tcW w:w="283" w:type="dxa"/>
            <w:vAlign w:val="bottom"/>
          </w:tcPr>
          <w:p w:rsidR="00916675" w:rsidRPr="00227C94" w:rsidRDefault="00916675" w:rsidP="000572BE">
            <w:pPr>
              <w:pStyle w:val="tblNumber01"/>
            </w:pPr>
          </w:p>
        </w:tc>
        <w:tc>
          <w:tcPr>
            <w:tcW w:w="1417" w:type="dxa"/>
            <w:tcBorders>
              <w:bottom w:val="double" w:sz="6" w:space="0" w:color="auto"/>
            </w:tcBorders>
            <w:shd w:val="clear" w:color="auto" w:fill="auto"/>
            <w:vAlign w:val="bottom"/>
          </w:tcPr>
          <w:p w:rsidR="00916675" w:rsidRPr="00227C94" w:rsidRDefault="00916675" w:rsidP="000572BE">
            <w:pPr>
              <w:pStyle w:val="tblNumber01"/>
              <w:rPr>
                <w:b/>
              </w:rPr>
            </w:pPr>
            <w:r w:rsidRPr="00227C94">
              <w:rPr>
                <w:b/>
              </w:rPr>
              <w:t>337,709</w:t>
            </w:r>
          </w:p>
        </w:tc>
      </w:tr>
    </w:tbl>
    <w:p w:rsidR="00916675" w:rsidRPr="00227C94" w:rsidRDefault="00916675" w:rsidP="00916675"/>
    <w:p w:rsidR="00916675" w:rsidRPr="00227C94" w:rsidRDefault="00916675" w:rsidP="00916675"/>
    <w:p w:rsidR="00916675" w:rsidRPr="00227C94" w:rsidRDefault="00916675" w:rsidP="00916675"/>
    <w:p w:rsidR="00916675" w:rsidRPr="00227C94" w:rsidRDefault="000572BE" w:rsidP="000572BE">
      <w:pPr>
        <w:pStyle w:val="ZX1CompanyName12"/>
      </w:pPr>
      <w:r w:rsidRPr="00227C94">
        <w:br w:type="page"/>
      </w:r>
      <w:r w:rsidR="00916675" w:rsidRPr="00227C94">
        <w:lastRenderedPageBreak/>
        <w:t>POLYUS GOLD International Limited</w:t>
      </w:r>
    </w:p>
    <w:p w:rsidR="00916675" w:rsidRPr="00227C94" w:rsidRDefault="00916675" w:rsidP="000572BE">
      <w:pPr>
        <w:pStyle w:val="ZX1CompanyName12"/>
      </w:pPr>
    </w:p>
    <w:p w:rsidR="00916675" w:rsidRPr="00227C94" w:rsidRDefault="00916675" w:rsidP="000572BE">
      <w:pPr>
        <w:pStyle w:val="ZX2Subhead"/>
        <w:rPr>
          <w:lang w:val="en-US"/>
        </w:rPr>
      </w:pPr>
      <w:r w:rsidRPr="00227C94">
        <w:rPr>
          <w:lang w:val="en-US"/>
        </w:rPr>
        <w:t>condensed CONSOLIDATED interim statement of financial position</w:t>
      </w:r>
    </w:p>
    <w:p w:rsidR="00916675" w:rsidRPr="00227C94" w:rsidRDefault="00916675" w:rsidP="000572BE">
      <w:pPr>
        <w:pStyle w:val="ZX2Subhead"/>
        <w:rPr>
          <w:lang w:val="en-US"/>
        </w:rPr>
      </w:pPr>
      <w:r w:rsidRPr="00227C94">
        <w:rPr>
          <w:lang w:val="en-US"/>
        </w:rPr>
        <w:t>AT 30 June 2012</w:t>
      </w:r>
    </w:p>
    <w:p w:rsidR="00916675" w:rsidRPr="00227C94" w:rsidRDefault="00916675" w:rsidP="000572BE">
      <w:pPr>
        <w:pStyle w:val="ZX3Currency"/>
        <w:rPr>
          <w:lang w:val="en-US"/>
        </w:rPr>
      </w:pPr>
      <w:r w:rsidRPr="00227C94">
        <w:rPr>
          <w:lang w:val="en-US"/>
        </w:rPr>
        <w:t>(</w:t>
      </w:r>
      <w:proofErr w:type="gramStart"/>
      <w:r w:rsidRPr="00227C94">
        <w:rPr>
          <w:lang w:val="en-US"/>
        </w:rPr>
        <w:t>in</w:t>
      </w:r>
      <w:proofErr w:type="gramEnd"/>
      <w:r w:rsidRPr="00227C94">
        <w:rPr>
          <w:lang w:val="en-US"/>
        </w:rPr>
        <w:t xml:space="preserve"> thousands of US Dollars)</w:t>
      </w:r>
    </w:p>
    <w:p w:rsidR="00916675" w:rsidRPr="00227C94" w:rsidRDefault="00916675" w:rsidP="000572BE">
      <w:pPr>
        <w:pStyle w:val="a4"/>
        <w:rPr>
          <w:lang w:val="en-US"/>
        </w:rPr>
      </w:pPr>
    </w:p>
    <w:tbl>
      <w:tblPr>
        <w:tblW w:w="9412" w:type="dxa"/>
        <w:tblLayout w:type="fixed"/>
        <w:tblCellMar>
          <w:left w:w="0" w:type="dxa"/>
          <w:right w:w="0" w:type="dxa"/>
        </w:tblCellMar>
        <w:tblLook w:val="0000" w:firstRow="0" w:lastRow="0" w:firstColumn="0" w:lastColumn="0" w:noHBand="0" w:noVBand="0"/>
      </w:tblPr>
      <w:tblGrid>
        <w:gridCol w:w="3802"/>
        <w:gridCol w:w="793"/>
        <w:gridCol w:w="1417"/>
        <w:gridCol w:w="283"/>
        <w:gridCol w:w="1417"/>
        <w:gridCol w:w="283"/>
        <w:gridCol w:w="1417"/>
      </w:tblGrid>
      <w:tr w:rsidR="00916675" w:rsidRPr="00227C94" w:rsidTr="00A701F4">
        <w:trPr>
          <w:cantSplit/>
        </w:trPr>
        <w:tc>
          <w:tcPr>
            <w:tcW w:w="3802" w:type="dxa"/>
            <w:vAlign w:val="bottom"/>
          </w:tcPr>
          <w:p w:rsidR="00916675" w:rsidRPr="00227C94" w:rsidRDefault="00916675" w:rsidP="000572BE">
            <w:pPr>
              <w:pStyle w:val="tblHeaderText"/>
              <w:jc w:val="left"/>
              <w:rPr>
                <w:lang w:val="en-US"/>
              </w:rPr>
            </w:pPr>
          </w:p>
        </w:tc>
        <w:tc>
          <w:tcPr>
            <w:tcW w:w="793" w:type="dxa"/>
            <w:vAlign w:val="bottom"/>
          </w:tcPr>
          <w:p w:rsidR="00916675" w:rsidRPr="00227C94" w:rsidRDefault="00916675" w:rsidP="000572BE">
            <w:pPr>
              <w:pStyle w:val="tblHeaderText"/>
            </w:pPr>
            <w:r w:rsidRPr="00227C94">
              <w:t>Notes</w:t>
            </w:r>
          </w:p>
        </w:tc>
        <w:tc>
          <w:tcPr>
            <w:tcW w:w="1417" w:type="dxa"/>
            <w:tcBorders>
              <w:bottom w:val="single" w:sz="6" w:space="0" w:color="auto"/>
            </w:tcBorders>
            <w:shd w:val="clear" w:color="auto" w:fill="auto"/>
            <w:vAlign w:val="bottom"/>
          </w:tcPr>
          <w:p w:rsidR="00916675" w:rsidRPr="00227C94" w:rsidRDefault="00916675" w:rsidP="000572BE">
            <w:pPr>
              <w:pStyle w:val="tblHeaderText"/>
            </w:pPr>
            <w:r w:rsidRPr="00227C94">
              <w:t>30 June</w:t>
            </w:r>
          </w:p>
          <w:p w:rsidR="00916675" w:rsidRPr="00227C94" w:rsidRDefault="00916675" w:rsidP="000572BE">
            <w:pPr>
              <w:pStyle w:val="tblHeaderText"/>
            </w:pPr>
            <w:r w:rsidRPr="00227C94">
              <w:t>2012</w:t>
            </w:r>
          </w:p>
          <w:p w:rsidR="00916675" w:rsidRPr="00227C94" w:rsidRDefault="00916675" w:rsidP="000572BE">
            <w:pPr>
              <w:pStyle w:val="tblHeaderText"/>
            </w:pPr>
            <w:r w:rsidRPr="00227C94">
              <w:t>(unaudited)</w:t>
            </w:r>
          </w:p>
        </w:tc>
        <w:tc>
          <w:tcPr>
            <w:tcW w:w="283" w:type="dxa"/>
            <w:shd w:val="clear" w:color="auto" w:fill="auto"/>
            <w:vAlign w:val="bottom"/>
          </w:tcPr>
          <w:p w:rsidR="00916675" w:rsidRPr="00227C94" w:rsidRDefault="00916675" w:rsidP="000572BE">
            <w:pPr>
              <w:pStyle w:val="tblHeaderText"/>
            </w:pPr>
          </w:p>
        </w:tc>
        <w:tc>
          <w:tcPr>
            <w:tcW w:w="1417" w:type="dxa"/>
            <w:tcBorders>
              <w:bottom w:val="single" w:sz="6" w:space="0" w:color="auto"/>
            </w:tcBorders>
            <w:shd w:val="clear" w:color="auto" w:fill="auto"/>
            <w:vAlign w:val="bottom"/>
          </w:tcPr>
          <w:p w:rsidR="00916675" w:rsidRPr="00227C94" w:rsidRDefault="00916675" w:rsidP="000572BE">
            <w:pPr>
              <w:pStyle w:val="tblHeaderText"/>
            </w:pPr>
            <w:r w:rsidRPr="00227C94">
              <w:t>30 June</w:t>
            </w:r>
          </w:p>
          <w:p w:rsidR="00916675" w:rsidRPr="00227C94" w:rsidRDefault="00916675" w:rsidP="000572BE">
            <w:pPr>
              <w:pStyle w:val="tblHeaderText"/>
            </w:pPr>
            <w:r w:rsidRPr="00227C94">
              <w:t>2011</w:t>
            </w:r>
          </w:p>
          <w:p w:rsidR="00916675" w:rsidRPr="00227C94" w:rsidRDefault="00916675" w:rsidP="000572BE">
            <w:pPr>
              <w:pStyle w:val="tblHeaderText"/>
            </w:pPr>
            <w:r w:rsidRPr="00227C94">
              <w:t>(unaudited)</w:t>
            </w:r>
          </w:p>
        </w:tc>
        <w:tc>
          <w:tcPr>
            <w:tcW w:w="283" w:type="dxa"/>
            <w:shd w:val="clear" w:color="auto" w:fill="auto"/>
            <w:vAlign w:val="bottom"/>
          </w:tcPr>
          <w:p w:rsidR="00916675" w:rsidRPr="00227C94" w:rsidRDefault="00916675" w:rsidP="000572BE">
            <w:pPr>
              <w:pStyle w:val="tblHeaderText"/>
            </w:pPr>
          </w:p>
        </w:tc>
        <w:tc>
          <w:tcPr>
            <w:tcW w:w="1417" w:type="dxa"/>
            <w:tcBorders>
              <w:bottom w:val="single" w:sz="6" w:space="0" w:color="auto"/>
            </w:tcBorders>
            <w:shd w:val="clear" w:color="auto" w:fill="auto"/>
            <w:vAlign w:val="bottom"/>
          </w:tcPr>
          <w:p w:rsidR="00916675" w:rsidRPr="00227C94" w:rsidRDefault="00916675" w:rsidP="000572BE">
            <w:pPr>
              <w:pStyle w:val="tblHeaderText"/>
            </w:pPr>
            <w:r w:rsidRPr="00227C94">
              <w:t>31 December 2011</w:t>
            </w:r>
          </w:p>
          <w:p w:rsidR="00916675" w:rsidRPr="00227C94" w:rsidRDefault="00916675" w:rsidP="000572BE">
            <w:pPr>
              <w:pStyle w:val="tblHeaderText"/>
            </w:pPr>
            <w:r w:rsidRPr="00227C94">
              <w:t>(audited)</w:t>
            </w:r>
          </w:p>
        </w:tc>
      </w:tr>
      <w:tr w:rsidR="000572BE" w:rsidRPr="00227C94" w:rsidTr="00A701F4">
        <w:trPr>
          <w:cantSplit/>
          <w:trHeight w:hRule="exact" w:val="113"/>
        </w:trPr>
        <w:tc>
          <w:tcPr>
            <w:tcW w:w="3802" w:type="dxa"/>
            <w:vAlign w:val="bottom"/>
          </w:tcPr>
          <w:p w:rsidR="000572BE" w:rsidRPr="00227C94" w:rsidRDefault="000572BE" w:rsidP="000572BE">
            <w:pPr>
              <w:pStyle w:val="tblHeaderText"/>
              <w:jc w:val="left"/>
            </w:pPr>
          </w:p>
        </w:tc>
        <w:tc>
          <w:tcPr>
            <w:tcW w:w="793" w:type="dxa"/>
            <w:vAlign w:val="bottom"/>
          </w:tcPr>
          <w:p w:rsidR="000572BE" w:rsidRPr="00227C94" w:rsidRDefault="000572BE" w:rsidP="000572BE">
            <w:pPr>
              <w:pStyle w:val="tblHeaderText"/>
            </w:pPr>
          </w:p>
        </w:tc>
        <w:tc>
          <w:tcPr>
            <w:tcW w:w="1417" w:type="dxa"/>
            <w:tcBorders>
              <w:top w:val="single" w:sz="6" w:space="0" w:color="auto"/>
            </w:tcBorders>
            <w:shd w:val="clear" w:color="auto" w:fill="auto"/>
            <w:vAlign w:val="bottom"/>
          </w:tcPr>
          <w:p w:rsidR="000572BE" w:rsidRPr="00227C94" w:rsidRDefault="000572BE" w:rsidP="000572BE">
            <w:pPr>
              <w:pStyle w:val="tblHeaderText"/>
            </w:pPr>
          </w:p>
        </w:tc>
        <w:tc>
          <w:tcPr>
            <w:tcW w:w="283" w:type="dxa"/>
            <w:shd w:val="clear" w:color="auto" w:fill="auto"/>
            <w:vAlign w:val="bottom"/>
          </w:tcPr>
          <w:p w:rsidR="000572BE" w:rsidRPr="00227C94" w:rsidRDefault="000572BE" w:rsidP="000572BE">
            <w:pPr>
              <w:pStyle w:val="tblHeaderText"/>
            </w:pPr>
          </w:p>
        </w:tc>
        <w:tc>
          <w:tcPr>
            <w:tcW w:w="1417" w:type="dxa"/>
            <w:tcBorders>
              <w:top w:val="single" w:sz="6" w:space="0" w:color="auto"/>
            </w:tcBorders>
            <w:shd w:val="clear" w:color="auto" w:fill="auto"/>
            <w:vAlign w:val="bottom"/>
          </w:tcPr>
          <w:p w:rsidR="000572BE" w:rsidRPr="00227C94" w:rsidRDefault="000572BE" w:rsidP="000572BE">
            <w:pPr>
              <w:pStyle w:val="tblHeaderText"/>
            </w:pPr>
          </w:p>
        </w:tc>
        <w:tc>
          <w:tcPr>
            <w:tcW w:w="283" w:type="dxa"/>
            <w:shd w:val="clear" w:color="auto" w:fill="auto"/>
            <w:vAlign w:val="bottom"/>
          </w:tcPr>
          <w:p w:rsidR="000572BE" w:rsidRPr="00227C94" w:rsidRDefault="000572BE" w:rsidP="000572BE">
            <w:pPr>
              <w:pStyle w:val="tblHeaderText"/>
            </w:pPr>
          </w:p>
        </w:tc>
        <w:tc>
          <w:tcPr>
            <w:tcW w:w="1417" w:type="dxa"/>
            <w:tcBorders>
              <w:top w:val="single" w:sz="6" w:space="0" w:color="auto"/>
            </w:tcBorders>
            <w:shd w:val="clear" w:color="auto" w:fill="auto"/>
            <w:vAlign w:val="bottom"/>
          </w:tcPr>
          <w:p w:rsidR="000572BE" w:rsidRPr="00227C94" w:rsidRDefault="000572BE" w:rsidP="000572BE">
            <w:pPr>
              <w:pStyle w:val="tblHeaderText"/>
            </w:pPr>
          </w:p>
        </w:tc>
      </w:tr>
      <w:tr w:rsidR="000572BE" w:rsidRPr="00227C94" w:rsidTr="000572BE">
        <w:trPr>
          <w:cantSplit/>
        </w:trPr>
        <w:tc>
          <w:tcPr>
            <w:tcW w:w="3802" w:type="dxa"/>
            <w:vAlign w:val="bottom"/>
          </w:tcPr>
          <w:p w:rsidR="000572BE" w:rsidRPr="00227C94" w:rsidRDefault="000572BE" w:rsidP="000572BE">
            <w:pPr>
              <w:pStyle w:val="tblHeaderText"/>
              <w:jc w:val="left"/>
            </w:pPr>
            <w:r w:rsidRPr="00227C94">
              <w:t>ASSETS</w:t>
            </w:r>
          </w:p>
        </w:tc>
        <w:tc>
          <w:tcPr>
            <w:tcW w:w="793" w:type="dxa"/>
            <w:vAlign w:val="bottom"/>
          </w:tcPr>
          <w:p w:rsidR="000572BE" w:rsidRPr="00227C94" w:rsidRDefault="000572BE" w:rsidP="000572BE">
            <w:pPr>
              <w:pStyle w:val="tblHeaderText"/>
            </w:pPr>
          </w:p>
        </w:tc>
        <w:tc>
          <w:tcPr>
            <w:tcW w:w="1417" w:type="dxa"/>
            <w:shd w:val="clear" w:color="auto" w:fill="auto"/>
            <w:vAlign w:val="bottom"/>
          </w:tcPr>
          <w:p w:rsidR="000572BE" w:rsidRPr="00227C94" w:rsidRDefault="000572BE" w:rsidP="000572BE">
            <w:pPr>
              <w:pStyle w:val="tblHeaderText"/>
            </w:pPr>
          </w:p>
        </w:tc>
        <w:tc>
          <w:tcPr>
            <w:tcW w:w="283" w:type="dxa"/>
            <w:shd w:val="clear" w:color="auto" w:fill="auto"/>
            <w:vAlign w:val="bottom"/>
          </w:tcPr>
          <w:p w:rsidR="000572BE" w:rsidRPr="00227C94" w:rsidRDefault="000572BE" w:rsidP="000572BE">
            <w:pPr>
              <w:pStyle w:val="tblHeaderText"/>
            </w:pPr>
          </w:p>
        </w:tc>
        <w:tc>
          <w:tcPr>
            <w:tcW w:w="1417" w:type="dxa"/>
            <w:shd w:val="clear" w:color="auto" w:fill="auto"/>
            <w:vAlign w:val="bottom"/>
          </w:tcPr>
          <w:p w:rsidR="000572BE" w:rsidRPr="00227C94" w:rsidRDefault="000572BE" w:rsidP="000572BE">
            <w:pPr>
              <w:pStyle w:val="tblHeaderText"/>
            </w:pPr>
          </w:p>
        </w:tc>
        <w:tc>
          <w:tcPr>
            <w:tcW w:w="283" w:type="dxa"/>
            <w:shd w:val="clear" w:color="auto" w:fill="auto"/>
            <w:vAlign w:val="bottom"/>
          </w:tcPr>
          <w:p w:rsidR="000572BE" w:rsidRPr="00227C94" w:rsidRDefault="000572BE" w:rsidP="000572BE">
            <w:pPr>
              <w:pStyle w:val="tblHeaderText"/>
            </w:pPr>
          </w:p>
        </w:tc>
        <w:tc>
          <w:tcPr>
            <w:tcW w:w="1417" w:type="dxa"/>
            <w:shd w:val="clear" w:color="auto" w:fill="auto"/>
            <w:vAlign w:val="bottom"/>
          </w:tcPr>
          <w:p w:rsidR="000572BE" w:rsidRPr="00227C94" w:rsidRDefault="000572BE" w:rsidP="000572BE">
            <w:pPr>
              <w:pStyle w:val="tblHeaderText"/>
            </w:pPr>
          </w:p>
        </w:tc>
      </w:tr>
      <w:tr w:rsidR="00916675" w:rsidRPr="00227C94" w:rsidTr="000572BE">
        <w:trPr>
          <w:cantSplit/>
          <w:trHeight w:hRule="exact" w:val="113"/>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2"/>
              <w:rPr>
                <w:b/>
              </w:rPr>
            </w:pPr>
            <w:r w:rsidRPr="00227C94">
              <w:rPr>
                <w:b/>
              </w:rPr>
              <w:t>Non-current assets</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2"/>
            </w:pPr>
            <w:r w:rsidRPr="00227C94">
              <w:t>Property, plant and equipment</w:t>
            </w:r>
          </w:p>
        </w:tc>
        <w:tc>
          <w:tcPr>
            <w:tcW w:w="793" w:type="dxa"/>
            <w:vAlign w:val="bottom"/>
          </w:tcPr>
          <w:p w:rsidR="00916675" w:rsidRPr="00227C94" w:rsidRDefault="00916675" w:rsidP="000572BE">
            <w:pPr>
              <w:pStyle w:val="tblNumber01"/>
              <w:jc w:val="center"/>
            </w:pPr>
            <w:r w:rsidRPr="00227C94">
              <w:t>10</w:t>
            </w:r>
          </w:p>
        </w:tc>
        <w:tc>
          <w:tcPr>
            <w:tcW w:w="1417" w:type="dxa"/>
            <w:vAlign w:val="bottom"/>
          </w:tcPr>
          <w:p w:rsidR="00916675" w:rsidRPr="00227C94" w:rsidRDefault="00916675" w:rsidP="000572BE">
            <w:pPr>
              <w:pStyle w:val="tblNumber01"/>
            </w:pPr>
            <w:r w:rsidRPr="00227C94">
              <w:t>2,177,202</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2,277,769</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2,056,417</w:t>
            </w:r>
          </w:p>
        </w:tc>
      </w:tr>
      <w:tr w:rsidR="00916675" w:rsidRPr="00227C94" w:rsidTr="000572BE">
        <w:trPr>
          <w:cantSplit/>
        </w:trPr>
        <w:tc>
          <w:tcPr>
            <w:tcW w:w="3802" w:type="dxa"/>
          </w:tcPr>
          <w:p w:rsidR="00916675" w:rsidRPr="00227C94" w:rsidRDefault="00916675" w:rsidP="000572BE">
            <w:pPr>
              <w:pStyle w:val="tblText02"/>
            </w:pPr>
            <w:r w:rsidRPr="00227C94">
              <w:t>Exploration and evaluation assets</w:t>
            </w:r>
          </w:p>
        </w:tc>
        <w:tc>
          <w:tcPr>
            <w:tcW w:w="793" w:type="dxa"/>
            <w:vAlign w:val="bottom"/>
          </w:tcPr>
          <w:p w:rsidR="00916675" w:rsidRPr="00227C94" w:rsidRDefault="00916675" w:rsidP="000572BE">
            <w:pPr>
              <w:pStyle w:val="tblNumber01"/>
              <w:jc w:val="center"/>
            </w:pPr>
            <w:r w:rsidRPr="00227C94">
              <w:t>11</w:t>
            </w:r>
          </w:p>
        </w:tc>
        <w:tc>
          <w:tcPr>
            <w:tcW w:w="1417" w:type="dxa"/>
            <w:vAlign w:val="bottom"/>
          </w:tcPr>
          <w:p w:rsidR="00916675" w:rsidRPr="00227C94" w:rsidRDefault="00916675" w:rsidP="000572BE">
            <w:pPr>
              <w:pStyle w:val="tblNumber01"/>
            </w:pPr>
            <w:r w:rsidRPr="00227C94">
              <w:t>412,322</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462,552</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399,846</w:t>
            </w:r>
          </w:p>
        </w:tc>
      </w:tr>
      <w:tr w:rsidR="00916675" w:rsidRPr="00227C94" w:rsidTr="000572BE">
        <w:trPr>
          <w:cantSplit/>
        </w:trPr>
        <w:tc>
          <w:tcPr>
            <w:tcW w:w="3802" w:type="dxa"/>
          </w:tcPr>
          <w:p w:rsidR="00916675" w:rsidRPr="00227C94" w:rsidRDefault="00916675" w:rsidP="000572BE">
            <w:pPr>
              <w:pStyle w:val="tblText02"/>
            </w:pPr>
            <w:r w:rsidRPr="00227C94">
              <w:t>Deferred stripping costs</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65,428</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48,770</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64,460</w:t>
            </w:r>
          </w:p>
        </w:tc>
      </w:tr>
      <w:tr w:rsidR="00916675" w:rsidRPr="00227C94" w:rsidTr="000572BE">
        <w:trPr>
          <w:cantSplit/>
        </w:trPr>
        <w:tc>
          <w:tcPr>
            <w:tcW w:w="3802" w:type="dxa"/>
          </w:tcPr>
          <w:p w:rsidR="00916675" w:rsidRPr="00227C94" w:rsidRDefault="00916675" w:rsidP="000572BE">
            <w:pPr>
              <w:pStyle w:val="tblText02"/>
              <w:rPr>
                <w:lang w:val="en-US"/>
              </w:rPr>
            </w:pPr>
            <w:r w:rsidRPr="00227C94">
              <w:rPr>
                <w:lang w:val="en-US"/>
              </w:rPr>
              <w:t>Investments in securities and other financial assets</w:t>
            </w:r>
          </w:p>
        </w:tc>
        <w:tc>
          <w:tcPr>
            <w:tcW w:w="793" w:type="dxa"/>
            <w:vAlign w:val="bottom"/>
          </w:tcPr>
          <w:p w:rsidR="00916675" w:rsidRPr="00227C94" w:rsidRDefault="00916675" w:rsidP="000572BE">
            <w:pPr>
              <w:pStyle w:val="tblNumber01"/>
              <w:jc w:val="center"/>
            </w:pPr>
            <w:r w:rsidRPr="00227C94">
              <w:t>12</w:t>
            </w:r>
          </w:p>
        </w:tc>
        <w:tc>
          <w:tcPr>
            <w:tcW w:w="1417" w:type="dxa"/>
            <w:vAlign w:val="bottom"/>
          </w:tcPr>
          <w:p w:rsidR="00916675" w:rsidRPr="00227C94" w:rsidRDefault="00916675" w:rsidP="000572BE">
            <w:pPr>
              <w:pStyle w:val="tblNumber01"/>
            </w:pPr>
            <w:r w:rsidRPr="00227C94">
              <w:t>3,330</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4,467</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3,643</w:t>
            </w:r>
          </w:p>
        </w:tc>
      </w:tr>
      <w:tr w:rsidR="00916675" w:rsidRPr="00227C94" w:rsidTr="00A701F4">
        <w:trPr>
          <w:cantSplit/>
        </w:trPr>
        <w:tc>
          <w:tcPr>
            <w:tcW w:w="3802" w:type="dxa"/>
          </w:tcPr>
          <w:p w:rsidR="00916675" w:rsidRPr="00227C94" w:rsidRDefault="00916675" w:rsidP="000572BE">
            <w:pPr>
              <w:pStyle w:val="tblText02"/>
            </w:pPr>
            <w:r w:rsidRPr="00227C94">
              <w:t>Inventories</w:t>
            </w:r>
          </w:p>
        </w:tc>
        <w:tc>
          <w:tcPr>
            <w:tcW w:w="793" w:type="dxa"/>
            <w:vAlign w:val="bottom"/>
          </w:tcPr>
          <w:p w:rsidR="00916675" w:rsidRPr="00227C94" w:rsidRDefault="00916675" w:rsidP="000572BE">
            <w:pPr>
              <w:pStyle w:val="tblNumber01"/>
              <w:jc w:val="center"/>
            </w:pPr>
            <w:r w:rsidRPr="00227C94">
              <w:t>13</w:t>
            </w:r>
          </w:p>
        </w:tc>
        <w:tc>
          <w:tcPr>
            <w:tcW w:w="1417" w:type="dxa"/>
            <w:vAlign w:val="bottom"/>
          </w:tcPr>
          <w:p w:rsidR="00916675" w:rsidRPr="00227C94" w:rsidRDefault="00916675" w:rsidP="000572BE">
            <w:pPr>
              <w:pStyle w:val="tblNumber01"/>
            </w:pPr>
            <w:r w:rsidRPr="00227C94">
              <w:t>220,360</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187,559</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207,789</w:t>
            </w:r>
          </w:p>
        </w:tc>
      </w:tr>
      <w:tr w:rsidR="00916675" w:rsidRPr="00227C94" w:rsidTr="00A701F4">
        <w:trPr>
          <w:cantSplit/>
        </w:trPr>
        <w:tc>
          <w:tcPr>
            <w:tcW w:w="3802" w:type="dxa"/>
          </w:tcPr>
          <w:p w:rsidR="00916675" w:rsidRPr="00227C94" w:rsidRDefault="00916675" w:rsidP="000572BE">
            <w:pPr>
              <w:pStyle w:val="tblText02"/>
            </w:pPr>
            <w:r w:rsidRPr="00227C94">
              <w:t>Other non-current assets</w:t>
            </w: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Dash"/>
            </w:pPr>
            <w:r w:rsidRPr="00227C94">
              <w:t>-</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55</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35</w:t>
            </w:r>
          </w:p>
        </w:tc>
      </w:tr>
      <w:tr w:rsidR="00916675" w:rsidRPr="00227C94" w:rsidTr="00A701F4">
        <w:trPr>
          <w:cantSplit/>
          <w:trHeight w:hRule="exact" w:val="113"/>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A701F4">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2,878,642</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2,981,172</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2,732,190</w:t>
            </w:r>
          </w:p>
        </w:tc>
      </w:tr>
      <w:tr w:rsidR="00916675" w:rsidRPr="00227C94" w:rsidTr="000572BE">
        <w:trPr>
          <w:cantSplit/>
          <w:trHeight w:hRule="exact" w:val="113"/>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2"/>
              <w:rPr>
                <w:b/>
              </w:rPr>
            </w:pPr>
            <w:r w:rsidRPr="00227C94">
              <w:rPr>
                <w:b/>
              </w:rPr>
              <w:t>Current assets</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2"/>
            </w:pPr>
            <w:r w:rsidRPr="00227C94">
              <w:t>Inventories</w:t>
            </w:r>
          </w:p>
        </w:tc>
        <w:tc>
          <w:tcPr>
            <w:tcW w:w="793" w:type="dxa"/>
            <w:vAlign w:val="bottom"/>
          </w:tcPr>
          <w:p w:rsidR="00916675" w:rsidRPr="00227C94" w:rsidRDefault="00916675" w:rsidP="000572BE">
            <w:pPr>
              <w:pStyle w:val="tblNumber01"/>
              <w:jc w:val="center"/>
            </w:pPr>
            <w:r w:rsidRPr="00227C94">
              <w:t>13</w:t>
            </w:r>
          </w:p>
        </w:tc>
        <w:tc>
          <w:tcPr>
            <w:tcW w:w="1417" w:type="dxa"/>
            <w:vAlign w:val="bottom"/>
          </w:tcPr>
          <w:p w:rsidR="00916675" w:rsidRPr="00227C94" w:rsidRDefault="00916675" w:rsidP="000572BE">
            <w:pPr>
              <w:pStyle w:val="tblNumber01"/>
            </w:pPr>
            <w:r w:rsidRPr="00227C94">
              <w:t>604,505</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598,956</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543,023</w:t>
            </w:r>
          </w:p>
        </w:tc>
      </w:tr>
      <w:tr w:rsidR="00916675" w:rsidRPr="00227C94" w:rsidTr="000572BE">
        <w:trPr>
          <w:cantSplit/>
        </w:trPr>
        <w:tc>
          <w:tcPr>
            <w:tcW w:w="3802" w:type="dxa"/>
          </w:tcPr>
          <w:p w:rsidR="00916675" w:rsidRPr="00227C94" w:rsidRDefault="00916675" w:rsidP="000572BE">
            <w:pPr>
              <w:pStyle w:val="tblText02"/>
              <w:rPr>
                <w:szCs w:val="18"/>
              </w:rPr>
            </w:pPr>
            <w:r w:rsidRPr="00227C94">
              <w:rPr>
                <w:szCs w:val="18"/>
              </w:rPr>
              <w:t xml:space="preserve">Deferred </w:t>
            </w:r>
            <w:r w:rsidRPr="00227C94">
              <w:t>expenditures</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54,735</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53,893</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18,512</w:t>
            </w:r>
          </w:p>
        </w:tc>
      </w:tr>
      <w:tr w:rsidR="00916675" w:rsidRPr="00227C94" w:rsidTr="000572BE">
        <w:trPr>
          <w:cantSplit/>
        </w:trPr>
        <w:tc>
          <w:tcPr>
            <w:tcW w:w="3802" w:type="dxa"/>
          </w:tcPr>
          <w:p w:rsidR="00916675" w:rsidRPr="00227C94" w:rsidRDefault="00916675" w:rsidP="000572BE">
            <w:pPr>
              <w:pStyle w:val="tblText02"/>
            </w:pPr>
            <w:r w:rsidRPr="00227C94">
              <w:t>Trade and other receivables</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32,280</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29,681</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24,712</w:t>
            </w:r>
          </w:p>
        </w:tc>
      </w:tr>
      <w:tr w:rsidR="00916675" w:rsidRPr="00227C94" w:rsidTr="000572BE">
        <w:trPr>
          <w:cantSplit/>
        </w:trPr>
        <w:tc>
          <w:tcPr>
            <w:tcW w:w="3802" w:type="dxa"/>
          </w:tcPr>
          <w:p w:rsidR="00916675" w:rsidRPr="00227C94" w:rsidRDefault="00916675" w:rsidP="000572BE">
            <w:pPr>
              <w:pStyle w:val="tblText02"/>
              <w:rPr>
                <w:lang w:val="en-US"/>
              </w:rPr>
            </w:pPr>
            <w:r w:rsidRPr="00227C94">
              <w:rPr>
                <w:lang w:val="en-US"/>
              </w:rPr>
              <w:t>Advances paid to suppliers and prepaid expenses</w:t>
            </w:r>
          </w:p>
        </w:tc>
        <w:tc>
          <w:tcPr>
            <w:tcW w:w="793" w:type="dxa"/>
            <w:vAlign w:val="bottom"/>
          </w:tcPr>
          <w:p w:rsidR="00916675" w:rsidRPr="00227C94" w:rsidRDefault="00916675" w:rsidP="000572BE">
            <w:pPr>
              <w:pStyle w:val="tblNumber01"/>
              <w:rPr>
                <w:lang w:val="en-US"/>
              </w:rPr>
            </w:pPr>
          </w:p>
        </w:tc>
        <w:tc>
          <w:tcPr>
            <w:tcW w:w="1417" w:type="dxa"/>
            <w:vAlign w:val="bottom"/>
          </w:tcPr>
          <w:p w:rsidR="00916675" w:rsidRPr="00227C94" w:rsidRDefault="00916675" w:rsidP="000572BE">
            <w:pPr>
              <w:pStyle w:val="tblNumber01"/>
            </w:pPr>
            <w:r w:rsidRPr="00227C94">
              <w:t>31,804</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24,938</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29,636</w:t>
            </w:r>
          </w:p>
        </w:tc>
      </w:tr>
      <w:tr w:rsidR="00916675" w:rsidRPr="00227C94" w:rsidTr="000572BE">
        <w:trPr>
          <w:cantSplit/>
        </w:trPr>
        <w:tc>
          <w:tcPr>
            <w:tcW w:w="3802" w:type="dxa"/>
          </w:tcPr>
          <w:p w:rsidR="00916675" w:rsidRPr="00227C94" w:rsidRDefault="00916675" w:rsidP="000572BE">
            <w:pPr>
              <w:pStyle w:val="tblText02"/>
              <w:rPr>
                <w:lang w:val="en-US"/>
              </w:rPr>
            </w:pPr>
            <w:r w:rsidRPr="00227C94">
              <w:rPr>
                <w:lang w:val="en-US"/>
              </w:rPr>
              <w:t>Investments in securities and other financial assets</w:t>
            </w:r>
          </w:p>
        </w:tc>
        <w:tc>
          <w:tcPr>
            <w:tcW w:w="793" w:type="dxa"/>
            <w:vAlign w:val="bottom"/>
          </w:tcPr>
          <w:p w:rsidR="00916675" w:rsidRPr="00227C94" w:rsidRDefault="00916675" w:rsidP="000572BE">
            <w:pPr>
              <w:pStyle w:val="tblNumber01"/>
              <w:jc w:val="center"/>
            </w:pPr>
            <w:r w:rsidRPr="00227C94">
              <w:t>12</w:t>
            </w:r>
          </w:p>
        </w:tc>
        <w:tc>
          <w:tcPr>
            <w:tcW w:w="1417" w:type="dxa"/>
            <w:vAlign w:val="bottom"/>
          </w:tcPr>
          <w:p w:rsidR="00916675" w:rsidRPr="00227C94" w:rsidRDefault="00916675" w:rsidP="000572BE">
            <w:pPr>
              <w:pStyle w:val="tblNumber01"/>
            </w:pPr>
            <w:r w:rsidRPr="00227C94">
              <w:t>63,707</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213,066</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63,468</w:t>
            </w:r>
          </w:p>
        </w:tc>
      </w:tr>
      <w:tr w:rsidR="00916675" w:rsidRPr="00227C94" w:rsidTr="00A701F4">
        <w:trPr>
          <w:cantSplit/>
        </w:trPr>
        <w:tc>
          <w:tcPr>
            <w:tcW w:w="3802" w:type="dxa"/>
          </w:tcPr>
          <w:p w:rsidR="00916675" w:rsidRPr="00227C94" w:rsidRDefault="00916675" w:rsidP="000572BE">
            <w:pPr>
              <w:pStyle w:val="tblText02"/>
            </w:pPr>
            <w:r w:rsidRPr="00227C94">
              <w:t>Taxes receivable</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136,175</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159,325</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150,022</w:t>
            </w:r>
          </w:p>
        </w:tc>
      </w:tr>
      <w:tr w:rsidR="00916675" w:rsidRPr="00227C94" w:rsidTr="00A701F4">
        <w:trPr>
          <w:cantSplit/>
        </w:trPr>
        <w:tc>
          <w:tcPr>
            <w:tcW w:w="3802" w:type="dxa"/>
          </w:tcPr>
          <w:p w:rsidR="00916675" w:rsidRPr="00227C94" w:rsidRDefault="00916675" w:rsidP="000572BE">
            <w:pPr>
              <w:pStyle w:val="tblText02"/>
            </w:pPr>
            <w:r w:rsidRPr="00227C94">
              <w:t>Cash and cash equivalents</w:t>
            </w:r>
          </w:p>
        </w:tc>
        <w:tc>
          <w:tcPr>
            <w:tcW w:w="793" w:type="dxa"/>
            <w:vAlign w:val="bottom"/>
          </w:tcPr>
          <w:p w:rsidR="00916675" w:rsidRPr="00227C94" w:rsidRDefault="00916675" w:rsidP="000572BE">
            <w:pPr>
              <w:pStyle w:val="tblNumber01"/>
              <w:jc w:val="center"/>
            </w:pPr>
            <w:r w:rsidRPr="00227C94">
              <w:t>14</w:t>
            </w: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847,954</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422,969</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657,448</w:t>
            </w:r>
          </w:p>
        </w:tc>
      </w:tr>
      <w:tr w:rsidR="00916675" w:rsidRPr="00227C94" w:rsidTr="00A701F4">
        <w:trPr>
          <w:cantSplit/>
          <w:trHeight w:hRule="exact" w:val="113"/>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A701F4">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1,771,160</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1,502,828</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1,486,821</w:t>
            </w:r>
          </w:p>
        </w:tc>
      </w:tr>
      <w:tr w:rsidR="00916675" w:rsidRPr="00227C94" w:rsidTr="00A701F4">
        <w:trPr>
          <w:cantSplit/>
          <w:trHeight w:hRule="exact" w:val="113"/>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A701F4">
        <w:trPr>
          <w:cantSplit/>
        </w:trPr>
        <w:tc>
          <w:tcPr>
            <w:tcW w:w="3802" w:type="dxa"/>
          </w:tcPr>
          <w:p w:rsidR="00916675" w:rsidRPr="00227C94" w:rsidRDefault="00916675" w:rsidP="000572BE">
            <w:pPr>
              <w:pStyle w:val="tblText02"/>
              <w:rPr>
                <w:b/>
              </w:rPr>
            </w:pPr>
            <w:r w:rsidRPr="00227C94">
              <w:rPr>
                <w:b/>
              </w:rPr>
              <w:t>TOTAL ASSETS</w:t>
            </w:r>
          </w:p>
        </w:tc>
        <w:tc>
          <w:tcPr>
            <w:tcW w:w="793" w:type="dxa"/>
            <w:vAlign w:val="bottom"/>
          </w:tcPr>
          <w:p w:rsidR="00916675" w:rsidRPr="00227C94" w:rsidRDefault="00916675" w:rsidP="000572BE">
            <w:pPr>
              <w:pStyle w:val="tblNumber01"/>
            </w:pPr>
          </w:p>
        </w:tc>
        <w:tc>
          <w:tcPr>
            <w:tcW w:w="1417" w:type="dxa"/>
            <w:tcBorders>
              <w:bottom w:val="double" w:sz="6" w:space="0" w:color="auto"/>
            </w:tcBorders>
            <w:shd w:val="clear" w:color="auto" w:fill="auto"/>
            <w:vAlign w:val="bottom"/>
          </w:tcPr>
          <w:p w:rsidR="00916675" w:rsidRPr="00227C94" w:rsidRDefault="00916675" w:rsidP="000572BE">
            <w:pPr>
              <w:pStyle w:val="tblNumber01"/>
              <w:rPr>
                <w:b/>
              </w:rPr>
            </w:pPr>
            <w:r w:rsidRPr="00227C94">
              <w:rPr>
                <w:b/>
              </w:rPr>
              <w:t>4,649,802</w:t>
            </w:r>
          </w:p>
        </w:tc>
        <w:tc>
          <w:tcPr>
            <w:tcW w:w="283" w:type="dxa"/>
            <w:vAlign w:val="bottom"/>
          </w:tcPr>
          <w:p w:rsidR="00916675" w:rsidRPr="00227C94" w:rsidRDefault="00916675" w:rsidP="000572BE">
            <w:pPr>
              <w:pStyle w:val="tblNumber01"/>
            </w:pPr>
          </w:p>
        </w:tc>
        <w:tc>
          <w:tcPr>
            <w:tcW w:w="1417" w:type="dxa"/>
            <w:tcBorders>
              <w:bottom w:val="double" w:sz="6" w:space="0" w:color="auto"/>
            </w:tcBorders>
            <w:shd w:val="clear" w:color="auto" w:fill="auto"/>
            <w:vAlign w:val="bottom"/>
          </w:tcPr>
          <w:p w:rsidR="00916675" w:rsidRPr="00227C94" w:rsidRDefault="00916675" w:rsidP="000572BE">
            <w:pPr>
              <w:pStyle w:val="tblNumber01"/>
              <w:rPr>
                <w:b/>
              </w:rPr>
            </w:pPr>
            <w:r w:rsidRPr="00227C94">
              <w:rPr>
                <w:b/>
              </w:rPr>
              <w:t>4,484,000</w:t>
            </w:r>
          </w:p>
        </w:tc>
        <w:tc>
          <w:tcPr>
            <w:tcW w:w="283" w:type="dxa"/>
            <w:vAlign w:val="bottom"/>
          </w:tcPr>
          <w:p w:rsidR="00916675" w:rsidRPr="00227C94" w:rsidRDefault="00916675" w:rsidP="000572BE">
            <w:pPr>
              <w:pStyle w:val="tblNumber01"/>
            </w:pPr>
          </w:p>
        </w:tc>
        <w:tc>
          <w:tcPr>
            <w:tcW w:w="1417" w:type="dxa"/>
            <w:tcBorders>
              <w:bottom w:val="double" w:sz="6" w:space="0" w:color="auto"/>
            </w:tcBorders>
            <w:shd w:val="clear" w:color="auto" w:fill="auto"/>
            <w:vAlign w:val="bottom"/>
          </w:tcPr>
          <w:p w:rsidR="00916675" w:rsidRPr="00227C94" w:rsidRDefault="00916675" w:rsidP="000572BE">
            <w:pPr>
              <w:pStyle w:val="tblNumber01"/>
              <w:rPr>
                <w:b/>
              </w:rPr>
            </w:pPr>
            <w:r w:rsidRPr="00227C94">
              <w:rPr>
                <w:b/>
              </w:rPr>
              <w:t>4,219,011</w:t>
            </w:r>
          </w:p>
        </w:tc>
      </w:tr>
      <w:tr w:rsidR="00916675" w:rsidRPr="00227C94" w:rsidTr="000572BE">
        <w:trPr>
          <w:cantSplit/>
          <w:trHeight w:hRule="exact" w:val="113"/>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doub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doub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double" w:sz="6" w:space="0" w:color="auto"/>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2"/>
              <w:rPr>
                <w:b/>
              </w:rPr>
            </w:pPr>
            <w:r w:rsidRPr="00227C94">
              <w:rPr>
                <w:b/>
              </w:rPr>
              <w:t>EQUITY AND LIABILITIES</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0572BE">
        <w:trPr>
          <w:cantSplit/>
          <w:trHeight w:hRule="exact" w:val="113"/>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2"/>
              <w:rPr>
                <w:b/>
              </w:rPr>
            </w:pPr>
            <w:r w:rsidRPr="00227C94">
              <w:rPr>
                <w:b/>
              </w:rPr>
              <w:t>Capital and reserves</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2"/>
            </w:pPr>
            <w:r w:rsidRPr="00227C94">
              <w:t>Share capital</w:t>
            </w:r>
          </w:p>
        </w:tc>
        <w:tc>
          <w:tcPr>
            <w:tcW w:w="793" w:type="dxa"/>
            <w:vAlign w:val="bottom"/>
          </w:tcPr>
          <w:p w:rsidR="00916675" w:rsidRPr="00227C94" w:rsidRDefault="00916675" w:rsidP="000572BE">
            <w:pPr>
              <w:pStyle w:val="tblNumber01"/>
              <w:jc w:val="center"/>
            </w:pPr>
            <w:r w:rsidRPr="00227C94">
              <w:t>15</w:t>
            </w:r>
          </w:p>
        </w:tc>
        <w:tc>
          <w:tcPr>
            <w:tcW w:w="1417" w:type="dxa"/>
            <w:vAlign w:val="bottom"/>
          </w:tcPr>
          <w:p w:rsidR="00916675" w:rsidRPr="00227C94" w:rsidRDefault="00916675" w:rsidP="000572BE">
            <w:pPr>
              <w:pStyle w:val="tblNumber01"/>
            </w:pPr>
            <w:r w:rsidRPr="00227C94">
              <w:t>482</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482</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482</w:t>
            </w:r>
          </w:p>
        </w:tc>
      </w:tr>
      <w:tr w:rsidR="00916675" w:rsidRPr="00227C94" w:rsidTr="000572BE">
        <w:trPr>
          <w:cantSplit/>
        </w:trPr>
        <w:tc>
          <w:tcPr>
            <w:tcW w:w="3802" w:type="dxa"/>
            <w:vAlign w:val="bottom"/>
          </w:tcPr>
          <w:p w:rsidR="00916675" w:rsidRPr="00227C94" w:rsidRDefault="00916675" w:rsidP="000572BE">
            <w:pPr>
              <w:pStyle w:val="tblText02"/>
            </w:pPr>
            <w:r w:rsidRPr="00227C94">
              <w:t>Additional paid-in capital</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2,151,765</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2,308,863</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2,189,240</w:t>
            </w:r>
          </w:p>
        </w:tc>
      </w:tr>
      <w:tr w:rsidR="00916675" w:rsidRPr="00227C94" w:rsidTr="000572BE">
        <w:trPr>
          <w:cantSplit/>
        </w:trPr>
        <w:tc>
          <w:tcPr>
            <w:tcW w:w="3802" w:type="dxa"/>
            <w:vAlign w:val="bottom"/>
          </w:tcPr>
          <w:p w:rsidR="00916675" w:rsidRPr="00227C94" w:rsidRDefault="00916675" w:rsidP="000572BE">
            <w:pPr>
              <w:pStyle w:val="tblText02"/>
            </w:pPr>
            <w:r w:rsidRPr="00227C94">
              <w:t>Treasury shares</w:t>
            </w:r>
          </w:p>
        </w:tc>
        <w:tc>
          <w:tcPr>
            <w:tcW w:w="793" w:type="dxa"/>
            <w:vAlign w:val="bottom"/>
          </w:tcPr>
          <w:p w:rsidR="00916675" w:rsidRPr="00227C94" w:rsidRDefault="00916675" w:rsidP="000572BE">
            <w:pPr>
              <w:pStyle w:val="tblNumber01"/>
              <w:jc w:val="center"/>
            </w:pPr>
            <w:r w:rsidRPr="00227C94">
              <w:t>15</w:t>
            </w:r>
          </w:p>
        </w:tc>
        <w:tc>
          <w:tcPr>
            <w:tcW w:w="1417" w:type="dxa"/>
            <w:vAlign w:val="bottom"/>
          </w:tcPr>
          <w:p w:rsidR="00916675" w:rsidRPr="00227C94" w:rsidRDefault="00916675" w:rsidP="000572BE">
            <w:pPr>
              <w:pStyle w:val="tblNumberDash"/>
            </w:pPr>
            <w:r w:rsidRPr="00227C94">
              <w:t>-</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(884,636)</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(765,013)</w:t>
            </w:r>
          </w:p>
        </w:tc>
      </w:tr>
      <w:tr w:rsidR="00916675" w:rsidRPr="00227C94" w:rsidTr="000572BE">
        <w:trPr>
          <w:cantSplit/>
        </w:trPr>
        <w:tc>
          <w:tcPr>
            <w:tcW w:w="3802" w:type="dxa"/>
            <w:vAlign w:val="bottom"/>
          </w:tcPr>
          <w:p w:rsidR="00916675" w:rsidRPr="00227C94" w:rsidRDefault="00916675" w:rsidP="000572BE">
            <w:pPr>
              <w:pStyle w:val="tblText02"/>
            </w:pPr>
            <w:r w:rsidRPr="00227C94">
              <w:t>Investments revaluation reserve</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2,766</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13,123</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4,557</w:t>
            </w:r>
          </w:p>
        </w:tc>
      </w:tr>
      <w:tr w:rsidR="00916675" w:rsidRPr="00227C94" w:rsidTr="00A701F4">
        <w:trPr>
          <w:cantSplit/>
        </w:trPr>
        <w:tc>
          <w:tcPr>
            <w:tcW w:w="3802" w:type="dxa"/>
            <w:vAlign w:val="bottom"/>
          </w:tcPr>
          <w:p w:rsidR="00916675" w:rsidRPr="00227C94" w:rsidRDefault="00916675" w:rsidP="000572BE">
            <w:pPr>
              <w:pStyle w:val="tblText02"/>
            </w:pPr>
            <w:r w:rsidRPr="00227C94">
              <w:t>Translation reserve</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(343,885)</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124,792</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(258,426)</w:t>
            </w:r>
          </w:p>
        </w:tc>
      </w:tr>
      <w:tr w:rsidR="00916675" w:rsidRPr="00227C94" w:rsidTr="00A701F4">
        <w:trPr>
          <w:cantSplit/>
        </w:trPr>
        <w:tc>
          <w:tcPr>
            <w:tcW w:w="3802" w:type="dxa"/>
            <w:vAlign w:val="bottom"/>
          </w:tcPr>
          <w:p w:rsidR="00916675" w:rsidRPr="00227C94" w:rsidRDefault="00916675" w:rsidP="000572BE">
            <w:pPr>
              <w:pStyle w:val="tblText02"/>
            </w:pPr>
            <w:r w:rsidRPr="00227C94">
              <w:t>Retained earnings</w:t>
            </w: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1,556,029</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1,119,224</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1,424,516</w:t>
            </w:r>
          </w:p>
        </w:tc>
      </w:tr>
      <w:tr w:rsidR="00916675" w:rsidRPr="00227C94" w:rsidTr="000572BE">
        <w:trPr>
          <w:cantSplit/>
          <w:trHeight w:hRule="exact" w:val="113"/>
        </w:trPr>
        <w:tc>
          <w:tcPr>
            <w:tcW w:w="3802" w:type="dxa"/>
            <w:vAlign w:val="bottom"/>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A701F4">
        <w:trPr>
          <w:cantSplit/>
        </w:trPr>
        <w:tc>
          <w:tcPr>
            <w:tcW w:w="3802" w:type="dxa"/>
            <w:vAlign w:val="bottom"/>
          </w:tcPr>
          <w:p w:rsidR="00916675" w:rsidRPr="00227C94" w:rsidRDefault="00916675" w:rsidP="000572BE">
            <w:pPr>
              <w:pStyle w:val="tblText02"/>
              <w:rPr>
                <w:b/>
                <w:lang w:val="en-US"/>
              </w:rPr>
            </w:pPr>
            <w:r w:rsidRPr="00227C94">
              <w:rPr>
                <w:b/>
                <w:lang w:val="en-US"/>
              </w:rPr>
              <w:t>Equity attributable to shareholders of the Company</w:t>
            </w:r>
          </w:p>
        </w:tc>
        <w:tc>
          <w:tcPr>
            <w:tcW w:w="793" w:type="dxa"/>
            <w:vAlign w:val="bottom"/>
          </w:tcPr>
          <w:p w:rsidR="00916675" w:rsidRPr="00227C94" w:rsidRDefault="00916675" w:rsidP="000572BE">
            <w:pPr>
              <w:pStyle w:val="tblNumber01"/>
              <w:rPr>
                <w:lang w:val="en-US"/>
              </w:rPr>
            </w:pPr>
          </w:p>
        </w:tc>
        <w:tc>
          <w:tcPr>
            <w:tcW w:w="1417" w:type="dxa"/>
            <w:shd w:val="clear" w:color="auto" w:fill="auto"/>
            <w:vAlign w:val="bottom"/>
          </w:tcPr>
          <w:p w:rsidR="00916675" w:rsidRPr="00227C94" w:rsidRDefault="00916675" w:rsidP="000572BE">
            <w:pPr>
              <w:pStyle w:val="tblNumber01"/>
              <w:rPr>
                <w:b/>
              </w:rPr>
            </w:pPr>
            <w:r w:rsidRPr="00227C94">
              <w:rPr>
                <w:b/>
              </w:rPr>
              <w:t>3,367,157</w:t>
            </w:r>
          </w:p>
        </w:tc>
        <w:tc>
          <w:tcPr>
            <w:tcW w:w="283" w:type="dxa"/>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1"/>
              <w:rPr>
                <w:b/>
              </w:rPr>
            </w:pPr>
            <w:r w:rsidRPr="00227C94">
              <w:rPr>
                <w:b/>
              </w:rPr>
              <w:t>2,681,848</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rPr>
                <w:b/>
              </w:rPr>
            </w:pPr>
            <w:r w:rsidRPr="00227C94">
              <w:rPr>
                <w:b/>
              </w:rPr>
              <w:t>2,595,356</w:t>
            </w:r>
          </w:p>
        </w:tc>
      </w:tr>
      <w:tr w:rsidR="00916675" w:rsidRPr="00227C94" w:rsidTr="00A701F4">
        <w:trPr>
          <w:cantSplit/>
        </w:trPr>
        <w:tc>
          <w:tcPr>
            <w:tcW w:w="3802" w:type="dxa"/>
            <w:shd w:val="clear" w:color="auto" w:fill="auto"/>
            <w:vAlign w:val="bottom"/>
          </w:tcPr>
          <w:p w:rsidR="00916675" w:rsidRPr="00227C94" w:rsidRDefault="00916675" w:rsidP="000572BE">
            <w:pPr>
              <w:pStyle w:val="tblText02"/>
            </w:pPr>
            <w:r w:rsidRPr="00227C94">
              <w:t>Non-controlling interests</w:t>
            </w:r>
          </w:p>
        </w:tc>
        <w:tc>
          <w:tcPr>
            <w:tcW w:w="793" w:type="dxa"/>
            <w:shd w:val="clear" w:color="auto" w:fill="auto"/>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289,518</w:t>
            </w:r>
          </w:p>
        </w:tc>
        <w:tc>
          <w:tcPr>
            <w:tcW w:w="283" w:type="dxa"/>
            <w:shd w:val="clear" w:color="auto" w:fill="auto"/>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882,211</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235,317</w:t>
            </w:r>
          </w:p>
        </w:tc>
      </w:tr>
      <w:tr w:rsidR="00916675" w:rsidRPr="00227C94" w:rsidTr="00A701F4">
        <w:trPr>
          <w:cantSplit/>
          <w:trHeight w:hRule="exact" w:val="113"/>
        </w:trPr>
        <w:tc>
          <w:tcPr>
            <w:tcW w:w="3802" w:type="dxa"/>
            <w:vAlign w:val="bottom"/>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A701F4">
        <w:trPr>
          <w:cantSplit/>
        </w:trPr>
        <w:tc>
          <w:tcPr>
            <w:tcW w:w="3802" w:type="dxa"/>
            <w:vAlign w:val="bottom"/>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3,656,675</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3,564,059</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2,830,673</w:t>
            </w:r>
          </w:p>
        </w:tc>
      </w:tr>
      <w:tr w:rsidR="00916675" w:rsidRPr="00227C94" w:rsidTr="000572BE">
        <w:trPr>
          <w:cantSplit/>
          <w:trHeight w:hRule="exact" w:val="113"/>
        </w:trPr>
        <w:tc>
          <w:tcPr>
            <w:tcW w:w="3802" w:type="dxa"/>
            <w:vAlign w:val="bottom"/>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vAlign w:val="bottom"/>
          </w:tcPr>
          <w:p w:rsidR="00916675" w:rsidRPr="00227C94" w:rsidRDefault="00916675" w:rsidP="000572BE">
            <w:pPr>
              <w:pStyle w:val="tblText02"/>
              <w:rPr>
                <w:b/>
              </w:rPr>
            </w:pPr>
            <w:r w:rsidRPr="00227C94">
              <w:rPr>
                <w:b/>
              </w:rPr>
              <w:t>Non-current liabilities</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0572BE">
        <w:trPr>
          <w:cantSplit/>
        </w:trPr>
        <w:tc>
          <w:tcPr>
            <w:tcW w:w="3802" w:type="dxa"/>
            <w:vAlign w:val="bottom"/>
          </w:tcPr>
          <w:p w:rsidR="00916675" w:rsidRPr="00227C94" w:rsidRDefault="00916675" w:rsidP="000572BE">
            <w:pPr>
              <w:pStyle w:val="tblText02"/>
              <w:rPr>
                <w:lang w:val="en-US"/>
              </w:rPr>
            </w:pPr>
            <w:r w:rsidRPr="00227C94">
              <w:rPr>
                <w:lang w:val="en-US"/>
              </w:rPr>
              <w:t>Site restoration and environmental obligations</w:t>
            </w:r>
          </w:p>
        </w:tc>
        <w:tc>
          <w:tcPr>
            <w:tcW w:w="793" w:type="dxa"/>
            <w:vAlign w:val="bottom"/>
          </w:tcPr>
          <w:p w:rsidR="00916675" w:rsidRPr="00227C94" w:rsidRDefault="00916675" w:rsidP="000572BE">
            <w:pPr>
              <w:pStyle w:val="tblNumber01"/>
              <w:rPr>
                <w:lang w:val="en-US"/>
              </w:rPr>
            </w:pPr>
          </w:p>
        </w:tc>
        <w:tc>
          <w:tcPr>
            <w:tcW w:w="1417" w:type="dxa"/>
            <w:vAlign w:val="bottom"/>
          </w:tcPr>
          <w:p w:rsidR="00916675" w:rsidRPr="00227C94" w:rsidRDefault="00916675" w:rsidP="000572BE">
            <w:pPr>
              <w:pStyle w:val="tblNumber01"/>
            </w:pPr>
            <w:r w:rsidRPr="00227C94">
              <w:t>150,083</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151,010</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149,876</w:t>
            </w:r>
          </w:p>
        </w:tc>
      </w:tr>
      <w:tr w:rsidR="00916675" w:rsidRPr="00227C94" w:rsidTr="000572BE">
        <w:trPr>
          <w:cantSplit/>
        </w:trPr>
        <w:tc>
          <w:tcPr>
            <w:tcW w:w="3802" w:type="dxa"/>
            <w:vAlign w:val="bottom"/>
          </w:tcPr>
          <w:p w:rsidR="00916675" w:rsidRPr="00227C94" w:rsidRDefault="00916675" w:rsidP="000572BE">
            <w:pPr>
              <w:pStyle w:val="tblText02"/>
            </w:pPr>
            <w:r w:rsidRPr="00227C94">
              <w:t>Borrowings</w:t>
            </w:r>
          </w:p>
        </w:tc>
        <w:tc>
          <w:tcPr>
            <w:tcW w:w="793" w:type="dxa"/>
            <w:vAlign w:val="bottom"/>
          </w:tcPr>
          <w:p w:rsidR="00916675" w:rsidRPr="00227C94" w:rsidRDefault="00916675" w:rsidP="000572BE">
            <w:pPr>
              <w:pStyle w:val="tblNumber01"/>
              <w:jc w:val="center"/>
            </w:pPr>
            <w:r w:rsidRPr="00227C94">
              <w:t>16</w:t>
            </w:r>
          </w:p>
        </w:tc>
        <w:tc>
          <w:tcPr>
            <w:tcW w:w="1417" w:type="dxa"/>
            <w:vAlign w:val="bottom"/>
          </w:tcPr>
          <w:p w:rsidR="00916675" w:rsidRPr="00227C94" w:rsidRDefault="00916675" w:rsidP="000572BE">
            <w:pPr>
              <w:pStyle w:val="tblNumber01"/>
            </w:pPr>
            <w:r w:rsidRPr="00227C94">
              <w:t>302,176</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209,969</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123,048</w:t>
            </w:r>
          </w:p>
        </w:tc>
      </w:tr>
      <w:tr w:rsidR="00916675" w:rsidRPr="00227C94" w:rsidTr="00A701F4">
        <w:trPr>
          <w:cantSplit/>
        </w:trPr>
        <w:tc>
          <w:tcPr>
            <w:tcW w:w="3802" w:type="dxa"/>
            <w:vAlign w:val="bottom"/>
          </w:tcPr>
          <w:p w:rsidR="00916675" w:rsidRPr="00227C94" w:rsidRDefault="00916675" w:rsidP="000572BE">
            <w:pPr>
              <w:pStyle w:val="tblText02"/>
            </w:pPr>
            <w:r w:rsidRPr="00227C94">
              <w:t>Deferred tax</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187,139</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204,183</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180,741</w:t>
            </w:r>
          </w:p>
        </w:tc>
      </w:tr>
      <w:tr w:rsidR="00916675" w:rsidRPr="00227C94" w:rsidTr="00A701F4">
        <w:trPr>
          <w:cantSplit/>
        </w:trPr>
        <w:tc>
          <w:tcPr>
            <w:tcW w:w="3802" w:type="dxa"/>
          </w:tcPr>
          <w:p w:rsidR="00916675" w:rsidRPr="00227C94" w:rsidRDefault="00916675" w:rsidP="000572BE">
            <w:pPr>
              <w:pStyle w:val="tblText02"/>
            </w:pPr>
            <w:r w:rsidRPr="00227C94">
              <w:t>Other non-current liabilities</w:t>
            </w: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22,854</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25,097</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szCs w:val="18"/>
              </w:rPr>
            </w:pPr>
            <w:r w:rsidRPr="00227C94">
              <w:t>24,008</w:t>
            </w:r>
          </w:p>
        </w:tc>
      </w:tr>
      <w:tr w:rsidR="00916675" w:rsidRPr="00227C94" w:rsidTr="00A701F4">
        <w:trPr>
          <w:cantSplit/>
          <w:trHeight w:hRule="exact" w:val="113"/>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A701F4">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662,252</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590,259</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477,673</w:t>
            </w:r>
          </w:p>
        </w:tc>
      </w:tr>
      <w:tr w:rsidR="00916675" w:rsidRPr="00227C94" w:rsidTr="000572BE">
        <w:trPr>
          <w:cantSplit/>
          <w:trHeight w:hRule="exact" w:val="113"/>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2"/>
              <w:rPr>
                <w:b/>
              </w:rPr>
            </w:pPr>
            <w:r w:rsidRPr="00227C94">
              <w:rPr>
                <w:b/>
              </w:rPr>
              <w:t>Current liabilities</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2"/>
            </w:pPr>
            <w:r w:rsidRPr="00227C94">
              <w:t>Borrowings</w:t>
            </w:r>
          </w:p>
        </w:tc>
        <w:tc>
          <w:tcPr>
            <w:tcW w:w="793" w:type="dxa"/>
            <w:vAlign w:val="bottom"/>
          </w:tcPr>
          <w:p w:rsidR="00916675" w:rsidRPr="00227C94" w:rsidRDefault="00916675" w:rsidP="000572BE">
            <w:pPr>
              <w:pStyle w:val="tblNumber01"/>
              <w:jc w:val="center"/>
            </w:pPr>
            <w:r w:rsidRPr="00227C94">
              <w:t>16</w:t>
            </w:r>
          </w:p>
        </w:tc>
        <w:tc>
          <w:tcPr>
            <w:tcW w:w="1417" w:type="dxa"/>
            <w:vAlign w:val="bottom"/>
          </w:tcPr>
          <w:p w:rsidR="00916675" w:rsidRPr="00227C94" w:rsidRDefault="00916675" w:rsidP="000572BE">
            <w:pPr>
              <w:pStyle w:val="tblNumber01"/>
            </w:pPr>
            <w:r w:rsidRPr="00227C94">
              <w:t>33,333</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Dash"/>
            </w:pPr>
            <w:r w:rsidRPr="00227C94">
              <w:t>-</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675,632</w:t>
            </w:r>
          </w:p>
        </w:tc>
      </w:tr>
      <w:tr w:rsidR="00916675" w:rsidRPr="00227C94" w:rsidTr="00A701F4">
        <w:trPr>
          <w:cantSplit/>
        </w:trPr>
        <w:tc>
          <w:tcPr>
            <w:tcW w:w="3802" w:type="dxa"/>
          </w:tcPr>
          <w:p w:rsidR="00916675" w:rsidRPr="00227C94" w:rsidRDefault="00916675" w:rsidP="000572BE">
            <w:pPr>
              <w:pStyle w:val="tblText02"/>
              <w:rPr>
                <w:lang w:val="en-US"/>
              </w:rPr>
            </w:pPr>
            <w:r w:rsidRPr="00227C94">
              <w:rPr>
                <w:lang w:val="en-US"/>
              </w:rPr>
              <w:t>Trade, other payables and accrued expenses</w:t>
            </w:r>
          </w:p>
        </w:tc>
        <w:tc>
          <w:tcPr>
            <w:tcW w:w="793" w:type="dxa"/>
            <w:vAlign w:val="bottom"/>
          </w:tcPr>
          <w:p w:rsidR="00916675" w:rsidRPr="00227C94" w:rsidRDefault="00916675" w:rsidP="000572BE">
            <w:pPr>
              <w:pStyle w:val="tblNumber01"/>
              <w:rPr>
                <w:lang w:val="en-US"/>
              </w:rPr>
            </w:pPr>
          </w:p>
        </w:tc>
        <w:tc>
          <w:tcPr>
            <w:tcW w:w="1417" w:type="dxa"/>
            <w:vAlign w:val="bottom"/>
          </w:tcPr>
          <w:p w:rsidR="00916675" w:rsidRPr="00227C94" w:rsidRDefault="00916675" w:rsidP="000572BE">
            <w:pPr>
              <w:pStyle w:val="tblNumber01"/>
            </w:pPr>
            <w:r w:rsidRPr="00227C94">
              <w:t>252,581</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287,852</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192,077</w:t>
            </w:r>
          </w:p>
        </w:tc>
      </w:tr>
      <w:tr w:rsidR="00916675" w:rsidRPr="00227C94" w:rsidTr="00A701F4">
        <w:trPr>
          <w:cantSplit/>
        </w:trPr>
        <w:tc>
          <w:tcPr>
            <w:tcW w:w="3802" w:type="dxa"/>
          </w:tcPr>
          <w:p w:rsidR="00916675" w:rsidRPr="00227C94" w:rsidRDefault="00916675" w:rsidP="000572BE">
            <w:pPr>
              <w:pStyle w:val="tblText02"/>
            </w:pPr>
            <w:r w:rsidRPr="00227C94">
              <w:t>Taxes payable</w:t>
            </w: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44,961</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41,830</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42,956</w:t>
            </w:r>
          </w:p>
        </w:tc>
      </w:tr>
      <w:tr w:rsidR="00916675" w:rsidRPr="00227C94" w:rsidTr="00A701F4">
        <w:trPr>
          <w:cantSplit/>
          <w:trHeight w:hRule="exact" w:val="113"/>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A701F4">
        <w:trPr>
          <w:cantSplit/>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330,875</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329,682</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910,665</w:t>
            </w:r>
          </w:p>
        </w:tc>
      </w:tr>
      <w:tr w:rsidR="00916675" w:rsidRPr="00227C94" w:rsidTr="00A701F4">
        <w:trPr>
          <w:cantSplit/>
          <w:trHeight w:hRule="exact" w:val="113"/>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A701F4">
        <w:trPr>
          <w:cantSplit/>
        </w:trPr>
        <w:tc>
          <w:tcPr>
            <w:tcW w:w="3802" w:type="dxa"/>
          </w:tcPr>
          <w:p w:rsidR="00916675" w:rsidRPr="00227C94" w:rsidRDefault="00916675" w:rsidP="000572BE">
            <w:pPr>
              <w:pStyle w:val="tblText02"/>
              <w:rPr>
                <w:b/>
              </w:rPr>
            </w:pPr>
            <w:r w:rsidRPr="00227C94">
              <w:rPr>
                <w:b/>
              </w:rPr>
              <w:t>TOTAL LIABILITIES</w:t>
            </w: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993,127</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919,941</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1,388,338</w:t>
            </w:r>
          </w:p>
        </w:tc>
      </w:tr>
      <w:tr w:rsidR="00916675" w:rsidRPr="00227C94" w:rsidTr="00A701F4">
        <w:trPr>
          <w:cantSplit/>
          <w:trHeight w:hRule="exact" w:val="113"/>
        </w:trPr>
        <w:tc>
          <w:tcPr>
            <w:tcW w:w="3802" w:type="dxa"/>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2"/>
              <w:rPr>
                <w:b/>
              </w:rPr>
            </w:pPr>
            <w:r w:rsidRPr="00227C94">
              <w:rPr>
                <w:b/>
              </w:rPr>
              <w:t>TOTAL EQUITY AND LIABILITIES</w:t>
            </w:r>
          </w:p>
        </w:tc>
        <w:tc>
          <w:tcPr>
            <w:tcW w:w="793" w:type="dxa"/>
            <w:vAlign w:val="bottom"/>
          </w:tcPr>
          <w:p w:rsidR="00916675" w:rsidRPr="00227C94" w:rsidRDefault="00916675" w:rsidP="000572BE">
            <w:pPr>
              <w:pStyle w:val="tblNumber01"/>
            </w:pPr>
          </w:p>
        </w:tc>
        <w:tc>
          <w:tcPr>
            <w:tcW w:w="1417" w:type="dxa"/>
            <w:tcBorders>
              <w:bottom w:val="double" w:sz="6" w:space="0" w:color="auto"/>
            </w:tcBorders>
            <w:shd w:val="clear" w:color="auto" w:fill="auto"/>
            <w:vAlign w:val="bottom"/>
          </w:tcPr>
          <w:p w:rsidR="00916675" w:rsidRPr="00227C94" w:rsidRDefault="00916675" w:rsidP="000572BE">
            <w:pPr>
              <w:pStyle w:val="tblNumber01"/>
              <w:rPr>
                <w:b/>
              </w:rPr>
            </w:pPr>
            <w:r w:rsidRPr="00227C94">
              <w:rPr>
                <w:b/>
              </w:rPr>
              <w:t>4,649,802</w:t>
            </w:r>
          </w:p>
        </w:tc>
        <w:tc>
          <w:tcPr>
            <w:tcW w:w="283" w:type="dxa"/>
            <w:vAlign w:val="bottom"/>
          </w:tcPr>
          <w:p w:rsidR="00916675" w:rsidRPr="00227C94" w:rsidRDefault="00916675" w:rsidP="000572BE">
            <w:pPr>
              <w:pStyle w:val="tblNumber01"/>
            </w:pPr>
          </w:p>
        </w:tc>
        <w:tc>
          <w:tcPr>
            <w:tcW w:w="1417" w:type="dxa"/>
            <w:tcBorders>
              <w:bottom w:val="double" w:sz="6" w:space="0" w:color="auto"/>
            </w:tcBorders>
            <w:shd w:val="clear" w:color="auto" w:fill="auto"/>
            <w:vAlign w:val="bottom"/>
          </w:tcPr>
          <w:p w:rsidR="00916675" w:rsidRPr="00227C94" w:rsidRDefault="00916675" w:rsidP="000572BE">
            <w:pPr>
              <w:pStyle w:val="tblNumber01"/>
              <w:rPr>
                <w:b/>
              </w:rPr>
            </w:pPr>
            <w:r w:rsidRPr="00227C94">
              <w:rPr>
                <w:b/>
              </w:rPr>
              <w:t>4,484,000</w:t>
            </w:r>
          </w:p>
        </w:tc>
        <w:tc>
          <w:tcPr>
            <w:tcW w:w="283" w:type="dxa"/>
            <w:vAlign w:val="bottom"/>
          </w:tcPr>
          <w:p w:rsidR="00916675" w:rsidRPr="00227C94" w:rsidRDefault="00916675" w:rsidP="000572BE">
            <w:pPr>
              <w:pStyle w:val="tblNumber01"/>
            </w:pPr>
          </w:p>
        </w:tc>
        <w:tc>
          <w:tcPr>
            <w:tcW w:w="1417" w:type="dxa"/>
            <w:tcBorders>
              <w:bottom w:val="double" w:sz="6" w:space="0" w:color="auto"/>
            </w:tcBorders>
            <w:shd w:val="clear" w:color="auto" w:fill="auto"/>
            <w:vAlign w:val="bottom"/>
          </w:tcPr>
          <w:p w:rsidR="00916675" w:rsidRPr="00227C94" w:rsidRDefault="00916675" w:rsidP="000572BE">
            <w:pPr>
              <w:pStyle w:val="tblNumber01"/>
              <w:rPr>
                <w:b/>
              </w:rPr>
            </w:pPr>
            <w:r w:rsidRPr="00227C94">
              <w:rPr>
                <w:b/>
              </w:rPr>
              <w:t>4,219,011</w:t>
            </w:r>
          </w:p>
        </w:tc>
      </w:tr>
    </w:tbl>
    <w:p w:rsidR="00916675" w:rsidRPr="00227C94" w:rsidRDefault="00916675" w:rsidP="000572BE">
      <w:pPr>
        <w:pStyle w:val="34"/>
      </w:pPr>
    </w:p>
    <w:p w:rsidR="00916675" w:rsidRPr="00227C94" w:rsidRDefault="00916675" w:rsidP="000572BE">
      <w:pPr>
        <w:pStyle w:val="34"/>
      </w:pPr>
    </w:p>
    <w:p w:rsidR="000572BE" w:rsidRPr="00227C94" w:rsidRDefault="000572BE" w:rsidP="00916675">
      <w:pPr>
        <w:sectPr w:rsidR="000572BE" w:rsidRPr="00227C94" w:rsidSect="00A34AA8">
          <w:pgSz w:w="11906" w:h="16838"/>
          <w:pgMar w:top="720" w:right="1077" w:bottom="431" w:left="1417" w:header="709" w:footer="709" w:gutter="0"/>
          <w:cols w:space="708"/>
          <w:docGrid w:linePitch="360"/>
        </w:sectPr>
      </w:pPr>
    </w:p>
    <w:p w:rsidR="00916675" w:rsidRPr="00227C94" w:rsidRDefault="00916675" w:rsidP="000572BE">
      <w:pPr>
        <w:pStyle w:val="ZX1CompanyName12"/>
      </w:pPr>
      <w:r w:rsidRPr="00227C94">
        <w:lastRenderedPageBreak/>
        <w:t>POLYUS GOLD International Limited</w:t>
      </w:r>
    </w:p>
    <w:p w:rsidR="00916675" w:rsidRPr="00227C94" w:rsidRDefault="00916675" w:rsidP="000572BE">
      <w:pPr>
        <w:pStyle w:val="ZX1CompanyName12"/>
      </w:pPr>
    </w:p>
    <w:p w:rsidR="00916675" w:rsidRPr="00227C94" w:rsidRDefault="00916675" w:rsidP="000572BE">
      <w:pPr>
        <w:pStyle w:val="ZX2Subhead"/>
        <w:rPr>
          <w:lang w:val="en-US"/>
        </w:rPr>
      </w:pPr>
      <w:r w:rsidRPr="00227C94">
        <w:rPr>
          <w:lang w:val="en-US"/>
        </w:rPr>
        <w:t>condensed CONSOLIDATED interim STATEMENT OF CHANGES IN EQUITY</w:t>
      </w:r>
    </w:p>
    <w:p w:rsidR="00916675" w:rsidRPr="00227C94" w:rsidRDefault="00916675" w:rsidP="000572BE">
      <w:pPr>
        <w:pStyle w:val="ZX2Subhead"/>
        <w:rPr>
          <w:lang w:val="en-US"/>
        </w:rPr>
      </w:pPr>
      <w:r w:rsidRPr="00227C94">
        <w:rPr>
          <w:lang w:val="en-US"/>
        </w:rPr>
        <w:t>FOR THE six months ENDED 30 june 2012</w:t>
      </w:r>
    </w:p>
    <w:p w:rsidR="00916675" w:rsidRPr="00227C94" w:rsidRDefault="00916675" w:rsidP="000572BE">
      <w:pPr>
        <w:pStyle w:val="ZX3Currency"/>
        <w:rPr>
          <w:lang w:val="en-US"/>
        </w:rPr>
      </w:pPr>
      <w:r w:rsidRPr="00227C94">
        <w:rPr>
          <w:lang w:val="en-US"/>
        </w:rPr>
        <w:t>(</w:t>
      </w:r>
      <w:proofErr w:type="gramStart"/>
      <w:r w:rsidRPr="00227C94">
        <w:rPr>
          <w:lang w:val="en-US"/>
        </w:rPr>
        <w:t>in</w:t>
      </w:r>
      <w:proofErr w:type="gramEnd"/>
      <w:r w:rsidRPr="00227C94">
        <w:rPr>
          <w:lang w:val="en-US"/>
        </w:rPr>
        <w:t xml:space="preserve"> thousands of US Dollars)</w:t>
      </w:r>
    </w:p>
    <w:p w:rsidR="00916675" w:rsidRPr="00227C94" w:rsidRDefault="00916675" w:rsidP="000572BE">
      <w:pPr>
        <w:pStyle w:val="a4"/>
        <w:spacing w:line="180" w:lineRule="exact"/>
        <w:rPr>
          <w:lang w:val="en-US"/>
        </w:rPr>
      </w:pPr>
    </w:p>
    <w:tbl>
      <w:tblPr>
        <w:tblW w:w="14570" w:type="dxa"/>
        <w:tblLayout w:type="fixed"/>
        <w:tblCellMar>
          <w:left w:w="0" w:type="dxa"/>
          <w:right w:w="0" w:type="dxa"/>
        </w:tblCellMar>
        <w:tblLook w:val="0000" w:firstRow="0" w:lastRow="0" w:firstColumn="0" w:lastColumn="0" w:noHBand="0" w:noVBand="0"/>
      </w:tblPr>
      <w:tblGrid>
        <w:gridCol w:w="3189"/>
        <w:gridCol w:w="674"/>
        <w:gridCol w:w="987"/>
        <w:gridCol w:w="93"/>
        <w:gridCol w:w="987"/>
        <w:gridCol w:w="93"/>
        <w:gridCol w:w="987"/>
        <w:gridCol w:w="93"/>
        <w:gridCol w:w="987"/>
        <w:gridCol w:w="93"/>
        <w:gridCol w:w="987"/>
        <w:gridCol w:w="93"/>
        <w:gridCol w:w="987"/>
        <w:gridCol w:w="93"/>
        <w:gridCol w:w="987"/>
        <w:gridCol w:w="93"/>
        <w:gridCol w:w="987"/>
        <w:gridCol w:w="93"/>
        <w:gridCol w:w="987"/>
        <w:gridCol w:w="93"/>
        <w:gridCol w:w="987"/>
      </w:tblGrid>
      <w:tr w:rsidR="000572BE" w:rsidRPr="00227C94" w:rsidTr="00A701F4">
        <w:trPr>
          <w:cantSplit/>
        </w:trPr>
        <w:tc>
          <w:tcPr>
            <w:tcW w:w="3189" w:type="dxa"/>
            <w:vAlign w:val="bottom"/>
          </w:tcPr>
          <w:p w:rsidR="000572BE" w:rsidRPr="00227C94" w:rsidRDefault="000572BE" w:rsidP="000572BE">
            <w:pPr>
              <w:pStyle w:val="tblHeaderText"/>
              <w:jc w:val="left"/>
              <w:rPr>
                <w:sz w:val="16"/>
                <w:lang w:val="en-US"/>
              </w:rPr>
            </w:pPr>
          </w:p>
        </w:tc>
        <w:tc>
          <w:tcPr>
            <w:tcW w:w="674" w:type="dxa"/>
            <w:vAlign w:val="bottom"/>
          </w:tcPr>
          <w:p w:rsidR="000572BE" w:rsidRPr="00227C94" w:rsidRDefault="000572BE" w:rsidP="000572BE">
            <w:pPr>
              <w:pStyle w:val="tblHeaderText"/>
              <w:rPr>
                <w:sz w:val="16"/>
                <w:lang w:val="en-US"/>
              </w:rPr>
            </w:pPr>
          </w:p>
        </w:tc>
        <w:tc>
          <w:tcPr>
            <w:tcW w:w="987" w:type="dxa"/>
            <w:shd w:val="clear" w:color="auto" w:fill="auto"/>
          </w:tcPr>
          <w:p w:rsidR="000572BE" w:rsidRPr="00227C94" w:rsidRDefault="000572BE" w:rsidP="000572BE">
            <w:pPr>
              <w:pStyle w:val="tblHeaderText"/>
              <w:rPr>
                <w:sz w:val="16"/>
              </w:rPr>
            </w:pPr>
            <w:r w:rsidRPr="00227C94">
              <w:rPr>
                <w:sz w:val="16"/>
              </w:rPr>
              <w:t>Number of</w:t>
            </w:r>
          </w:p>
        </w:tc>
        <w:tc>
          <w:tcPr>
            <w:tcW w:w="93" w:type="dxa"/>
          </w:tcPr>
          <w:p w:rsidR="000572BE" w:rsidRPr="00227C94" w:rsidRDefault="000572BE" w:rsidP="000572BE">
            <w:pPr>
              <w:pStyle w:val="tblHeaderText"/>
              <w:rPr>
                <w:sz w:val="16"/>
              </w:rPr>
            </w:pPr>
          </w:p>
        </w:tc>
        <w:tc>
          <w:tcPr>
            <w:tcW w:w="7467" w:type="dxa"/>
            <w:gridSpan w:val="13"/>
            <w:tcBorders>
              <w:bottom w:val="single" w:sz="6" w:space="0" w:color="auto"/>
            </w:tcBorders>
            <w:shd w:val="clear" w:color="auto" w:fill="auto"/>
            <w:vAlign w:val="bottom"/>
          </w:tcPr>
          <w:p w:rsidR="000572BE" w:rsidRPr="00227C94" w:rsidRDefault="000572BE" w:rsidP="000572BE">
            <w:pPr>
              <w:pStyle w:val="tblHeaderText"/>
              <w:rPr>
                <w:sz w:val="16"/>
                <w:lang w:val="en-US"/>
              </w:rPr>
            </w:pPr>
            <w:r w:rsidRPr="00227C94">
              <w:rPr>
                <w:sz w:val="16"/>
                <w:lang w:val="en-US"/>
              </w:rPr>
              <w:t>Equity attributable to shareholders of the Company</w:t>
            </w:r>
          </w:p>
        </w:tc>
        <w:tc>
          <w:tcPr>
            <w:tcW w:w="93" w:type="dxa"/>
          </w:tcPr>
          <w:p w:rsidR="000572BE" w:rsidRPr="00227C94" w:rsidRDefault="000572BE" w:rsidP="000572BE">
            <w:pPr>
              <w:pStyle w:val="tblHeaderText"/>
              <w:rPr>
                <w:sz w:val="16"/>
                <w:lang w:val="en-US"/>
              </w:rPr>
            </w:pPr>
          </w:p>
        </w:tc>
        <w:tc>
          <w:tcPr>
            <w:tcW w:w="987" w:type="dxa"/>
            <w:shd w:val="clear" w:color="auto" w:fill="auto"/>
            <w:vAlign w:val="bottom"/>
          </w:tcPr>
          <w:p w:rsidR="000572BE" w:rsidRPr="00227C94" w:rsidRDefault="000572BE" w:rsidP="000572BE">
            <w:pPr>
              <w:pStyle w:val="tblHeaderText"/>
              <w:rPr>
                <w:sz w:val="16"/>
                <w:lang w:val="en-US"/>
              </w:rPr>
            </w:pPr>
          </w:p>
        </w:tc>
        <w:tc>
          <w:tcPr>
            <w:tcW w:w="93" w:type="dxa"/>
          </w:tcPr>
          <w:p w:rsidR="000572BE" w:rsidRPr="00227C94" w:rsidRDefault="000572BE" w:rsidP="000572BE">
            <w:pPr>
              <w:pStyle w:val="tblHeaderText"/>
              <w:rPr>
                <w:sz w:val="16"/>
                <w:lang w:val="en-US"/>
              </w:rPr>
            </w:pPr>
          </w:p>
        </w:tc>
        <w:tc>
          <w:tcPr>
            <w:tcW w:w="987" w:type="dxa"/>
            <w:shd w:val="clear" w:color="auto" w:fill="auto"/>
            <w:vAlign w:val="bottom"/>
          </w:tcPr>
          <w:p w:rsidR="000572BE" w:rsidRPr="00227C94" w:rsidRDefault="000572BE" w:rsidP="000572BE">
            <w:pPr>
              <w:pStyle w:val="tblHeaderText"/>
              <w:rPr>
                <w:sz w:val="16"/>
                <w:lang w:val="en-US"/>
              </w:rPr>
            </w:pPr>
          </w:p>
        </w:tc>
      </w:tr>
      <w:tr w:rsidR="000572BE" w:rsidRPr="00227C94" w:rsidTr="00A701F4">
        <w:trPr>
          <w:cantSplit/>
        </w:trPr>
        <w:tc>
          <w:tcPr>
            <w:tcW w:w="3189" w:type="dxa"/>
            <w:vAlign w:val="bottom"/>
          </w:tcPr>
          <w:p w:rsidR="000572BE" w:rsidRPr="00227C94" w:rsidRDefault="000572BE" w:rsidP="000572BE">
            <w:pPr>
              <w:pStyle w:val="tblHeaderText"/>
              <w:jc w:val="left"/>
              <w:rPr>
                <w:sz w:val="16"/>
                <w:lang w:val="en-US"/>
              </w:rPr>
            </w:pPr>
          </w:p>
        </w:tc>
        <w:tc>
          <w:tcPr>
            <w:tcW w:w="674" w:type="dxa"/>
            <w:vAlign w:val="bottom"/>
          </w:tcPr>
          <w:p w:rsidR="000572BE" w:rsidRPr="00227C94" w:rsidRDefault="000572BE" w:rsidP="000572BE">
            <w:pPr>
              <w:pStyle w:val="tblHeaderText"/>
              <w:rPr>
                <w:sz w:val="16"/>
              </w:rPr>
            </w:pPr>
            <w:r w:rsidRPr="00227C94">
              <w:rPr>
                <w:sz w:val="16"/>
              </w:rPr>
              <w:t>Notes</w:t>
            </w:r>
          </w:p>
        </w:tc>
        <w:tc>
          <w:tcPr>
            <w:tcW w:w="987" w:type="dxa"/>
            <w:tcBorders>
              <w:bottom w:val="single" w:sz="6" w:space="0" w:color="auto"/>
            </w:tcBorders>
            <w:shd w:val="clear" w:color="auto" w:fill="auto"/>
          </w:tcPr>
          <w:p w:rsidR="000572BE" w:rsidRPr="00227C94" w:rsidRDefault="000572BE" w:rsidP="000572BE">
            <w:pPr>
              <w:pStyle w:val="tblHeaderText"/>
              <w:rPr>
                <w:sz w:val="16"/>
              </w:rPr>
            </w:pPr>
            <w:r w:rsidRPr="00227C94">
              <w:rPr>
                <w:sz w:val="16"/>
              </w:rPr>
              <w:t>outstanding shares, thousand</w:t>
            </w:r>
          </w:p>
        </w:tc>
        <w:tc>
          <w:tcPr>
            <w:tcW w:w="93" w:type="dxa"/>
          </w:tcPr>
          <w:p w:rsidR="000572BE" w:rsidRPr="00227C94" w:rsidRDefault="000572BE" w:rsidP="000572BE">
            <w:pPr>
              <w:pStyle w:val="tblHeaderText"/>
              <w:rPr>
                <w:sz w:val="16"/>
              </w:rPr>
            </w:pPr>
          </w:p>
        </w:tc>
        <w:tc>
          <w:tcPr>
            <w:tcW w:w="987" w:type="dxa"/>
            <w:tcBorders>
              <w:top w:val="single" w:sz="6" w:space="0" w:color="auto"/>
              <w:bottom w:val="single" w:sz="6" w:space="0" w:color="auto"/>
            </w:tcBorders>
            <w:shd w:val="clear" w:color="auto" w:fill="auto"/>
            <w:vAlign w:val="bottom"/>
          </w:tcPr>
          <w:p w:rsidR="000572BE" w:rsidRPr="00227C94" w:rsidRDefault="000572BE" w:rsidP="000572BE">
            <w:pPr>
              <w:pStyle w:val="tblHeaderText"/>
              <w:rPr>
                <w:sz w:val="16"/>
              </w:rPr>
            </w:pPr>
            <w:r w:rsidRPr="00227C94">
              <w:rPr>
                <w:sz w:val="16"/>
              </w:rPr>
              <w:t>Share</w:t>
            </w:r>
          </w:p>
          <w:p w:rsidR="000572BE" w:rsidRPr="00227C94" w:rsidRDefault="000572BE" w:rsidP="000572BE">
            <w:pPr>
              <w:pStyle w:val="tblHeaderText"/>
              <w:rPr>
                <w:sz w:val="16"/>
              </w:rPr>
            </w:pPr>
            <w:r w:rsidRPr="00227C94">
              <w:rPr>
                <w:sz w:val="16"/>
              </w:rPr>
              <w:t>capital</w:t>
            </w:r>
          </w:p>
        </w:tc>
        <w:tc>
          <w:tcPr>
            <w:tcW w:w="93" w:type="dxa"/>
            <w:tcBorders>
              <w:top w:val="single" w:sz="6" w:space="0" w:color="auto"/>
            </w:tcBorders>
            <w:shd w:val="clear" w:color="auto" w:fill="auto"/>
          </w:tcPr>
          <w:p w:rsidR="000572BE" w:rsidRPr="00227C94" w:rsidRDefault="000572BE" w:rsidP="000572BE">
            <w:pPr>
              <w:pStyle w:val="tblHeaderText"/>
              <w:rPr>
                <w:sz w:val="16"/>
              </w:rPr>
            </w:pPr>
          </w:p>
        </w:tc>
        <w:tc>
          <w:tcPr>
            <w:tcW w:w="987" w:type="dxa"/>
            <w:tcBorders>
              <w:top w:val="single" w:sz="6" w:space="0" w:color="auto"/>
              <w:bottom w:val="single" w:sz="6" w:space="0" w:color="auto"/>
            </w:tcBorders>
            <w:shd w:val="clear" w:color="auto" w:fill="auto"/>
            <w:vAlign w:val="bottom"/>
          </w:tcPr>
          <w:p w:rsidR="000572BE" w:rsidRPr="00227C94" w:rsidRDefault="000572BE" w:rsidP="000572BE">
            <w:pPr>
              <w:pStyle w:val="tblHeaderText"/>
              <w:rPr>
                <w:sz w:val="16"/>
              </w:rPr>
            </w:pPr>
            <w:r w:rsidRPr="00227C94">
              <w:rPr>
                <w:sz w:val="16"/>
              </w:rPr>
              <w:t>Additional paid-in capital</w:t>
            </w:r>
          </w:p>
        </w:tc>
        <w:tc>
          <w:tcPr>
            <w:tcW w:w="93" w:type="dxa"/>
            <w:tcBorders>
              <w:top w:val="single" w:sz="6" w:space="0" w:color="auto"/>
            </w:tcBorders>
            <w:shd w:val="clear" w:color="auto" w:fill="auto"/>
          </w:tcPr>
          <w:p w:rsidR="000572BE" w:rsidRPr="00227C94" w:rsidRDefault="000572BE" w:rsidP="000572BE">
            <w:pPr>
              <w:pStyle w:val="tblHeaderText"/>
              <w:rPr>
                <w:sz w:val="16"/>
              </w:rPr>
            </w:pPr>
          </w:p>
        </w:tc>
        <w:tc>
          <w:tcPr>
            <w:tcW w:w="987" w:type="dxa"/>
            <w:tcBorders>
              <w:top w:val="single" w:sz="6" w:space="0" w:color="auto"/>
              <w:bottom w:val="single" w:sz="6" w:space="0" w:color="auto"/>
            </w:tcBorders>
            <w:shd w:val="clear" w:color="auto" w:fill="auto"/>
            <w:vAlign w:val="bottom"/>
          </w:tcPr>
          <w:p w:rsidR="000572BE" w:rsidRPr="00227C94" w:rsidRDefault="000572BE" w:rsidP="000572BE">
            <w:pPr>
              <w:pStyle w:val="tblHeaderText"/>
              <w:rPr>
                <w:sz w:val="16"/>
              </w:rPr>
            </w:pPr>
            <w:r w:rsidRPr="00227C94">
              <w:rPr>
                <w:sz w:val="16"/>
              </w:rPr>
              <w:t>Treasury</w:t>
            </w:r>
          </w:p>
          <w:p w:rsidR="000572BE" w:rsidRPr="00227C94" w:rsidRDefault="000572BE" w:rsidP="000572BE">
            <w:pPr>
              <w:pStyle w:val="tblHeaderText"/>
              <w:rPr>
                <w:sz w:val="16"/>
              </w:rPr>
            </w:pPr>
            <w:r w:rsidRPr="00227C94">
              <w:rPr>
                <w:sz w:val="16"/>
              </w:rPr>
              <w:t>shares</w:t>
            </w:r>
          </w:p>
        </w:tc>
        <w:tc>
          <w:tcPr>
            <w:tcW w:w="93" w:type="dxa"/>
            <w:tcBorders>
              <w:top w:val="single" w:sz="6" w:space="0" w:color="auto"/>
            </w:tcBorders>
            <w:shd w:val="clear" w:color="auto" w:fill="auto"/>
          </w:tcPr>
          <w:p w:rsidR="000572BE" w:rsidRPr="00227C94" w:rsidRDefault="000572BE" w:rsidP="000572BE">
            <w:pPr>
              <w:pStyle w:val="tblHeaderText"/>
              <w:rPr>
                <w:sz w:val="16"/>
              </w:rPr>
            </w:pPr>
          </w:p>
        </w:tc>
        <w:tc>
          <w:tcPr>
            <w:tcW w:w="987" w:type="dxa"/>
            <w:tcBorders>
              <w:top w:val="single" w:sz="6" w:space="0" w:color="auto"/>
              <w:bottom w:val="single" w:sz="6" w:space="0" w:color="auto"/>
            </w:tcBorders>
            <w:shd w:val="clear" w:color="auto" w:fill="auto"/>
            <w:vAlign w:val="bottom"/>
          </w:tcPr>
          <w:p w:rsidR="000572BE" w:rsidRPr="00227C94" w:rsidRDefault="000572BE" w:rsidP="000572BE">
            <w:pPr>
              <w:pStyle w:val="tblHeaderText"/>
              <w:rPr>
                <w:sz w:val="16"/>
              </w:rPr>
            </w:pPr>
            <w:r w:rsidRPr="00227C94">
              <w:rPr>
                <w:sz w:val="16"/>
              </w:rPr>
              <w:t>Investments revaluation reserve</w:t>
            </w:r>
          </w:p>
        </w:tc>
        <w:tc>
          <w:tcPr>
            <w:tcW w:w="93" w:type="dxa"/>
            <w:tcBorders>
              <w:top w:val="single" w:sz="6" w:space="0" w:color="auto"/>
            </w:tcBorders>
            <w:shd w:val="clear" w:color="auto" w:fill="auto"/>
          </w:tcPr>
          <w:p w:rsidR="000572BE" w:rsidRPr="00227C94" w:rsidRDefault="000572BE" w:rsidP="000572BE">
            <w:pPr>
              <w:pStyle w:val="tblHeaderText"/>
              <w:rPr>
                <w:sz w:val="16"/>
              </w:rPr>
            </w:pPr>
          </w:p>
        </w:tc>
        <w:tc>
          <w:tcPr>
            <w:tcW w:w="987" w:type="dxa"/>
            <w:tcBorders>
              <w:top w:val="single" w:sz="6" w:space="0" w:color="auto"/>
              <w:bottom w:val="single" w:sz="6" w:space="0" w:color="auto"/>
            </w:tcBorders>
            <w:shd w:val="clear" w:color="auto" w:fill="auto"/>
            <w:vAlign w:val="bottom"/>
          </w:tcPr>
          <w:p w:rsidR="000572BE" w:rsidRPr="00227C94" w:rsidRDefault="000572BE" w:rsidP="000572BE">
            <w:pPr>
              <w:pStyle w:val="tblHeaderText"/>
              <w:rPr>
                <w:sz w:val="16"/>
              </w:rPr>
            </w:pPr>
            <w:r w:rsidRPr="00227C94">
              <w:rPr>
                <w:sz w:val="16"/>
              </w:rPr>
              <w:t>Translation reserve</w:t>
            </w:r>
          </w:p>
        </w:tc>
        <w:tc>
          <w:tcPr>
            <w:tcW w:w="93" w:type="dxa"/>
            <w:tcBorders>
              <w:top w:val="single" w:sz="6" w:space="0" w:color="auto"/>
            </w:tcBorders>
            <w:shd w:val="clear" w:color="auto" w:fill="auto"/>
          </w:tcPr>
          <w:p w:rsidR="000572BE" w:rsidRPr="00227C94" w:rsidRDefault="000572BE" w:rsidP="000572BE">
            <w:pPr>
              <w:pStyle w:val="tblHeaderText"/>
              <w:rPr>
                <w:sz w:val="16"/>
              </w:rPr>
            </w:pPr>
          </w:p>
        </w:tc>
        <w:tc>
          <w:tcPr>
            <w:tcW w:w="987" w:type="dxa"/>
            <w:tcBorders>
              <w:top w:val="single" w:sz="6" w:space="0" w:color="auto"/>
              <w:bottom w:val="single" w:sz="6" w:space="0" w:color="auto"/>
            </w:tcBorders>
            <w:shd w:val="clear" w:color="auto" w:fill="auto"/>
            <w:vAlign w:val="bottom"/>
          </w:tcPr>
          <w:p w:rsidR="000572BE" w:rsidRPr="00227C94" w:rsidRDefault="000572BE" w:rsidP="000572BE">
            <w:pPr>
              <w:pStyle w:val="tblHeaderText"/>
              <w:rPr>
                <w:sz w:val="16"/>
              </w:rPr>
            </w:pPr>
            <w:r w:rsidRPr="00227C94">
              <w:rPr>
                <w:sz w:val="16"/>
              </w:rPr>
              <w:t>Retained earnings</w:t>
            </w:r>
          </w:p>
        </w:tc>
        <w:tc>
          <w:tcPr>
            <w:tcW w:w="93" w:type="dxa"/>
            <w:tcBorders>
              <w:top w:val="single" w:sz="6" w:space="0" w:color="auto"/>
            </w:tcBorders>
            <w:shd w:val="clear" w:color="auto" w:fill="auto"/>
          </w:tcPr>
          <w:p w:rsidR="000572BE" w:rsidRPr="00227C94" w:rsidRDefault="000572BE" w:rsidP="000572BE">
            <w:pPr>
              <w:pStyle w:val="tblHeaderText"/>
              <w:rPr>
                <w:sz w:val="16"/>
              </w:rPr>
            </w:pPr>
          </w:p>
        </w:tc>
        <w:tc>
          <w:tcPr>
            <w:tcW w:w="987" w:type="dxa"/>
            <w:tcBorders>
              <w:top w:val="single" w:sz="6" w:space="0" w:color="auto"/>
              <w:bottom w:val="single" w:sz="6" w:space="0" w:color="auto"/>
            </w:tcBorders>
            <w:shd w:val="clear" w:color="auto" w:fill="auto"/>
            <w:vAlign w:val="bottom"/>
          </w:tcPr>
          <w:p w:rsidR="000572BE" w:rsidRPr="00227C94" w:rsidRDefault="000572BE" w:rsidP="000572BE">
            <w:pPr>
              <w:pStyle w:val="tblHeaderText"/>
              <w:rPr>
                <w:sz w:val="16"/>
              </w:rPr>
            </w:pPr>
            <w:r w:rsidRPr="00227C94">
              <w:rPr>
                <w:sz w:val="16"/>
              </w:rPr>
              <w:t>Total</w:t>
            </w:r>
          </w:p>
        </w:tc>
        <w:tc>
          <w:tcPr>
            <w:tcW w:w="93" w:type="dxa"/>
          </w:tcPr>
          <w:p w:rsidR="000572BE" w:rsidRPr="00227C94" w:rsidRDefault="000572BE" w:rsidP="000572BE">
            <w:pPr>
              <w:pStyle w:val="tblHeaderText"/>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HeaderText"/>
              <w:rPr>
                <w:spacing w:val="-3"/>
                <w:sz w:val="16"/>
              </w:rPr>
            </w:pPr>
            <w:r w:rsidRPr="00227C94">
              <w:rPr>
                <w:spacing w:val="-3"/>
                <w:sz w:val="16"/>
              </w:rPr>
              <w:t>Non-controlling</w:t>
            </w:r>
          </w:p>
          <w:p w:rsidR="000572BE" w:rsidRPr="00227C94" w:rsidRDefault="000572BE" w:rsidP="000572BE">
            <w:pPr>
              <w:pStyle w:val="tblHeaderText"/>
              <w:rPr>
                <w:sz w:val="16"/>
              </w:rPr>
            </w:pPr>
            <w:r w:rsidRPr="00227C94">
              <w:rPr>
                <w:sz w:val="16"/>
              </w:rPr>
              <w:t>interests</w:t>
            </w:r>
          </w:p>
        </w:tc>
        <w:tc>
          <w:tcPr>
            <w:tcW w:w="93" w:type="dxa"/>
            <w:shd w:val="clear" w:color="auto" w:fill="auto"/>
          </w:tcPr>
          <w:p w:rsidR="000572BE" w:rsidRPr="00227C94" w:rsidRDefault="000572BE" w:rsidP="000572BE">
            <w:pPr>
              <w:pStyle w:val="tblHeaderText"/>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HeaderText"/>
              <w:rPr>
                <w:sz w:val="16"/>
              </w:rPr>
            </w:pPr>
            <w:r w:rsidRPr="00227C94">
              <w:rPr>
                <w:sz w:val="16"/>
              </w:rPr>
              <w:t>Total</w:t>
            </w:r>
          </w:p>
        </w:tc>
      </w:tr>
      <w:tr w:rsidR="000572BE" w:rsidRPr="00227C94" w:rsidTr="000572BE">
        <w:trPr>
          <w:cantSplit/>
          <w:trHeight w:hRule="exact" w:val="113"/>
        </w:trPr>
        <w:tc>
          <w:tcPr>
            <w:tcW w:w="3189" w:type="dxa"/>
          </w:tcPr>
          <w:p w:rsidR="000572BE" w:rsidRPr="00227C94" w:rsidRDefault="000572BE" w:rsidP="000572BE">
            <w:pPr>
              <w:pStyle w:val="tblText02"/>
              <w:rPr>
                <w:sz w:val="16"/>
              </w:rPr>
            </w:pPr>
          </w:p>
        </w:tc>
        <w:tc>
          <w:tcPr>
            <w:tcW w:w="674"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r>
      <w:tr w:rsidR="000572BE" w:rsidRPr="00227C94" w:rsidTr="000572BE">
        <w:trPr>
          <w:cantSplit/>
        </w:trPr>
        <w:tc>
          <w:tcPr>
            <w:tcW w:w="3189" w:type="dxa"/>
            <w:vAlign w:val="bottom"/>
          </w:tcPr>
          <w:p w:rsidR="000572BE" w:rsidRPr="00227C94" w:rsidRDefault="000572BE" w:rsidP="000572BE">
            <w:pPr>
              <w:pStyle w:val="tblText02"/>
              <w:rPr>
                <w:b/>
                <w:sz w:val="16"/>
              </w:rPr>
            </w:pPr>
            <w:r w:rsidRPr="00227C94">
              <w:rPr>
                <w:b/>
                <w:sz w:val="16"/>
              </w:rPr>
              <w:t>Balance at 31 December 2010 (audited)</w:t>
            </w:r>
          </w:p>
        </w:tc>
        <w:tc>
          <w:tcPr>
            <w:tcW w:w="674"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3,082,656</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519</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2,087,978</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b/>
                <w:sz w:val="16"/>
              </w:rPr>
            </w:pPr>
            <w:r w:rsidRPr="00227C94">
              <w:rPr>
                <w:b/>
                <w:sz w:val="16"/>
              </w:rPr>
              <w:t>(626,313)</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30,556</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b/>
                <w:sz w:val="16"/>
              </w:rPr>
            </w:pPr>
            <w:r w:rsidRPr="00227C94">
              <w:rPr>
                <w:b/>
                <w:sz w:val="16"/>
              </w:rPr>
              <w:t>(119,736)</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1,810,641</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3,183,645</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56,886</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3,240,531</w:t>
            </w:r>
          </w:p>
        </w:tc>
      </w:tr>
      <w:tr w:rsidR="000572BE" w:rsidRPr="00227C94" w:rsidTr="000572BE">
        <w:trPr>
          <w:cantSplit/>
          <w:trHeight w:hRule="exact" w:val="113"/>
        </w:trPr>
        <w:tc>
          <w:tcPr>
            <w:tcW w:w="3189" w:type="dxa"/>
            <w:vAlign w:val="bottom"/>
          </w:tcPr>
          <w:p w:rsidR="000572BE" w:rsidRPr="00227C94" w:rsidRDefault="000572BE" w:rsidP="000572BE">
            <w:pPr>
              <w:pStyle w:val="tblText02"/>
              <w:rPr>
                <w:sz w:val="16"/>
              </w:rPr>
            </w:pPr>
          </w:p>
        </w:tc>
        <w:tc>
          <w:tcPr>
            <w:tcW w:w="674"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r>
      <w:tr w:rsidR="000572BE" w:rsidRPr="00227C94" w:rsidTr="00A701F4">
        <w:trPr>
          <w:cantSplit/>
        </w:trPr>
        <w:tc>
          <w:tcPr>
            <w:tcW w:w="3189" w:type="dxa"/>
            <w:vAlign w:val="bottom"/>
          </w:tcPr>
          <w:p w:rsidR="000572BE" w:rsidRPr="00227C94" w:rsidRDefault="000572BE" w:rsidP="000572BE">
            <w:pPr>
              <w:pStyle w:val="tblText02"/>
              <w:rPr>
                <w:sz w:val="16"/>
                <w:lang w:val="en-US"/>
              </w:rPr>
            </w:pPr>
            <w:r w:rsidRPr="00227C94">
              <w:rPr>
                <w:sz w:val="16"/>
                <w:lang w:val="en-US"/>
              </w:rPr>
              <w:t>Profit for the six months ended 30 June 2011</w:t>
            </w:r>
          </w:p>
        </w:tc>
        <w:tc>
          <w:tcPr>
            <w:tcW w:w="674" w:type="dxa"/>
            <w:vAlign w:val="bottom"/>
          </w:tcPr>
          <w:p w:rsidR="000572BE" w:rsidRPr="00227C94" w:rsidRDefault="000572BE" w:rsidP="000572BE">
            <w:pPr>
              <w:pStyle w:val="tblNumber01"/>
              <w:rPr>
                <w:sz w:val="16"/>
                <w:lang w:val="en-US"/>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r w:rsidRPr="00227C94">
              <w:rPr>
                <w:sz w:val="16"/>
              </w:rPr>
              <w:t>188,847</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188,847</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r w:rsidRPr="00227C94">
              <w:rPr>
                <w:sz w:val="16"/>
              </w:rPr>
              <w:t>17,953</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206,800</w:t>
            </w:r>
          </w:p>
        </w:tc>
      </w:tr>
      <w:tr w:rsidR="000572BE" w:rsidRPr="00227C94" w:rsidTr="00A701F4">
        <w:trPr>
          <w:cantSplit/>
        </w:trPr>
        <w:tc>
          <w:tcPr>
            <w:tcW w:w="3189" w:type="dxa"/>
            <w:vAlign w:val="bottom"/>
          </w:tcPr>
          <w:p w:rsidR="000572BE" w:rsidRPr="00227C94" w:rsidRDefault="000572BE" w:rsidP="000572BE">
            <w:pPr>
              <w:pStyle w:val="tblText02"/>
              <w:rPr>
                <w:sz w:val="16"/>
              </w:rPr>
            </w:pPr>
            <w:r w:rsidRPr="00227C94">
              <w:rPr>
                <w:sz w:val="16"/>
              </w:rPr>
              <w:t>Other comprehensive income/(loss)</w:t>
            </w:r>
          </w:p>
        </w:tc>
        <w:tc>
          <w:tcPr>
            <w:tcW w:w="674"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sz w:val="16"/>
              </w:rPr>
            </w:pPr>
            <w:r w:rsidRPr="00227C94">
              <w:rPr>
                <w:sz w:val="16"/>
              </w:rPr>
              <w:t>(17,433)</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1"/>
              <w:rPr>
                <w:sz w:val="16"/>
              </w:rPr>
            </w:pPr>
            <w:r w:rsidRPr="00227C94">
              <w:rPr>
                <w:sz w:val="16"/>
              </w:rPr>
              <w:t>244,528</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1"/>
              <w:rPr>
                <w:b/>
                <w:sz w:val="16"/>
              </w:rPr>
            </w:pPr>
            <w:r w:rsidRPr="00227C94">
              <w:rPr>
                <w:b/>
                <w:sz w:val="16"/>
              </w:rPr>
              <w:t>227,095</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1"/>
              <w:rPr>
                <w:sz w:val="16"/>
              </w:rPr>
            </w:pPr>
            <w:r w:rsidRPr="00227C94">
              <w:rPr>
                <w:sz w:val="16"/>
              </w:rPr>
              <w:t>13,175</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1"/>
              <w:rPr>
                <w:b/>
                <w:sz w:val="16"/>
              </w:rPr>
            </w:pPr>
            <w:r w:rsidRPr="00227C94">
              <w:rPr>
                <w:b/>
                <w:sz w:val="16"/>
              </w:rPr>
              <w:t>240,270</w:t>
            </w:r>
          </w:p>
        </w:tc>
      </w:tr>
      <w:tr w:rsidR="000572BE" w:rsidRPr="00227C94" w:rsidTr="000572BE">
        <w:trPr>
          <w:cantSplit/>
          <w:trHeight w:hRule="exact" w:val="113"/>
        </w:trPr>
        <w:tc>
          <w:tcPr>
            <w:tcW w:w="3189" w:type="dxa"/>
            <w:vAlign w:val="bottom"/>
          </w:tcPr>
          <w:p w:rsidR="000572BE" w:rsidRPr="00227C94" w:rsidRDefault="000572BE" w:rsidP="000572BE">
            <w:pPr>
              <w:pStyle w:val="tblText02"/>
              <w:rPr>
                <w:sz w:val="16"/>
              </w:rPr>
            </w:pPr>
          </w:p>
        </w:tc>
        <w:tc>
          <w:tcPr>
            <w:tcW w:w="674"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r>
      <w:tr w:rsidR="000572BE" w:rsidRPr="00227C94" w:rsidTr="000572BE">
        <w:trPr>
          <w:cantSplit/>
        </w:trPr>
        <w:tc>
          <w:tcPr>
            <w:tcW w:w="3189" w:type="dxa"/>
            <w:vAlign w:val="bottom"/>
          </w:tcPr>
          <w:p w:rsidR="000572BE" w:rsidRPr="00227C94" w:rsidRDefault="000572BE" w:rsidP="000572BE">
            <w:pPr>
              <w:pStyle w:val="tblText02"/>
              <w:rPr>
                <w:b/>
                <w:sz w:val="16"/>
              </w:rPr>
            </w:pPr>
            <w:r w:rsidRPr="00227C94">
              <w:rPr>
                <w:b/>
                <w:sz w:val="16"/>
              </w:rPr>
              <w:t>Total comprehensive income</w:t>
            </w:r>
          </w:p>
        </w:tc>
        <w:tc>
          <w:tcPr>
            <w:tcW w:w="674"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b/>
                <w:sz w:val="16"/>
              </w:rPr>
            </w:pPr>
            <w:r w:rsidRPr="00227C94">
              <w:rPr>
                <w:b/>
                <w:sz w:val="16"/>
              </w:rPr>
              <w:t>(17,433)</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244,528</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188,847</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415,942</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31,128</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447,070</w:t>
            </w:r>
          </w:p>
        </w:tc>
      </w:tr>
      <w:tr w:rsidR="000572BE" w:rsidRPr="00227C94" w:rsidTr="000572BE">
        <w:trPr>
          <w:cantSplit/>
          <w:trHeight w:hRule="exact" w:val="113"/>
        </w:trPr>
        <w:tc>
          <w:tcPr>
            <w:tcW w:w="3189" w:type="dxa"/>
            <w:shd w:val="clear" w:color="auto" w:fill="auto"/>
            <w:vAlign w:val="bottom"/>
          </w:tcPr>
          <w:p w:rsidR="000572BE" w:rsidRPr="00227C94" w:rsidRDefault="000572BE" w:rsidP="000572BE">
            <w:pPr>
              <w:pStyle w:val="tblText02"/>
              <w:rPr>
                <w:sz w:val="16"/>
              </w:rPr>
            </w:pPr>
          </w:p>
        </w:tc>
        <w:tc>
          <w:tcPr>
            <w:tcW w:w="674" w:type="dxa"/>
            <w:shd w:val="clear" w:color="auto" w:fill="auto"/>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r>
      <w:tr w:rsidR="000572BE" w:rsidRPr="00227C94" w:rsidTr="000572BE">
        <w:trPr>
          <w:cantSplit/>
        </w:trPr>
        <w:tc>
          <w:tcPr>
            <w:tcW w:w="3189" w:type="dxa"/>
            <w:vAlign w:val="bottom"/>
          </w:tcPr>
          <w:p w:rsidR="000572BE" w:rsidRPr="00227C94" w:rsidRDefault="000572BE" w:rsidP="000572BE">
            <w:pPr>
              <w:pStyle w:val="tblText02"/>
              <w:rPr>
                <w:sz w:val="16"/>
              </w:rPr>
            </w:pPr>
            <w:r w:rsidRPr="00227C94">
              <w:rPr>
                <w:sz w:val="16"/>
              </w:rPr>
              <w:t>Effect of reorganization</w:t>
            </w:r>
          </w:p>
        </w:tc>
        <w:tc>
          <w:tcPr>
            <w:tcW w:w="674"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sz w:val="16"/>
              </w:rPr>
            </w:pPr>
            <w:r w:rsidRPr="00227C94">
              <w:rPr>
                <w:sz w:val="16"/>
              </w:rPr>
              <w:t>(312,955)</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sz w:val="16"/>
              </w:rPr>
            </w:pPr>
            <w:r w:rsidRPr="00227C94">
              <w:rPr>
                <w:sz w:val="16"/>
              </w:rPr>
              <w:t>(37)</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r w:rsidRPr="00227C94">
              <w:rPr>
                <w:sz w:val="16"/>
              </w:rPr>
              <w:t>220,885</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sz w:val="16"/>
              </w:rPr>
            </w:pPr>
            <w:r w:rsidRPr="00227C94">
              <w:rPr>
                <w:sz w:val="16"/>
              </w:rPr>
              <w:t>(258,323)</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sz w:val="16"/>
              </w:rPr>
            </w:pPr>
            <w:r w:rsidRPr="00227C94">
              <w:rPr>
                <w:sz w:val="16"/>
              </w:rPr>
              <w:t>(807,937)</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b/>
                <w:sz w:val="16"/>
              </w:rPr>
            </w:pPr>
            <w:r w:rsidRPr="00227C94">
              <w:rPr>
                <w:b/>
                <w:sz w:val="16"/>
              </w:rPr>
              <w:t>(845,412)</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r w:rsidRPr="00227C94">
              <w:rPr>
                <w:sz w:val="16"/>
              </w:rPr>
              <w:t>807,937</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b/>
                <w:sz w:val="16"/>
              </w:rPr>
            </w:pPr>
            <w:r w:rsidRPr="00227C94">
              <w:rPr>
                <w:b/>
                <w:sz w:val="16"/>
              </w:rPr>
              <w:t>(37,475)</w:t>
            </w:r>
          </w:p>
        </w:tc>
      </w:tr>
      <w:tr w:rsidR="000572BE" w:rsidRPr="00227C94" w:rsidTr="00A701F4">
        <w:trPr>
          <w:cantSplit/>
        </w:trPr>
        <w:tc>
          <w:tcPr>
            <w:tcW w:w="3189" w:type="dxa"/>
            <w:vAlign w:val="bottom"/>
          </w:tcPr>
          <w:p w:rsidR="000572BE" w:rsidRPr="00227C94" w:rsidRDefault="000572BE" w:rsidP="000572BE">
            <w:pPr>
              <w:pStyle w:val="tblText02"/>
              <w:rPr>
                <w:b/>
                <w:bCs/>
                <w:sz w:val="16"/>
                <w:lang w:val="en-US"/>
              </w:rPr>
            </w:pPr>
            <w:r w:rsidRPr="00227C94">
              <w:rPr>
                <w:sz w:val="16"/>
                <w:lang w:val="en-US"/>
              </w:rPr>
              <w:t xml:space="preserve">Dividends declared to shareholders of </w:t>
            </w:r>
            <w:r w:rsidRPr="00227C94">
              <w:rPr>
                <w:sz w:val="16"/>
                <w:lang w:val="en-US"/>
              </w:rPr>
              <w:br/>
              <w:t>the Company</w:t>
            </w:r>
          </w:p>
        </w:tc>
        <w:tc>
          <w:tcPr>
            <w:tcW w:w="674" w:type="dxa"/>
            <w:vAlign w:val="bottom"/>
          </w:tcPr>
          <w:p w:rsidR="000572BE" w:rsidRPr="00227C94" w:rsidRDefault="000572BE" w:rsidP="000572BE">
            <w:pPr>
              <w:pStyle w:val="tblNumber01"/>
              <w:jc w:val="center"/>
              <w:rPr>
                <w:sz w:val="16"/>
              </w:rPr>
            </w:pPr>
            <w:r w:rsidRPr="00227C94">
              <w:rPr>
                <w:sz w:val="16"/>
              </w:rPr>
              <w:t>15</w:t>
            </w: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sz w:val="16"/>
              </w:rPr>
            </w:pPr>
            <w:r w:rsidRPr="00227C94">
              <w:rPr>
                <w:sz w:val="16"/>
              </w:rPr>
              <w:t>(72,327)</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b/>
                <w:sz w:val="16"/>
              </w:rPr>
            </w:pPr>
            <w:r w:rsidRPr="00227C94">
              <w:rPr>
                <w:b/>
                <w:sz w:val="16"/>
              </w:rPr>
              <w:t>(72,327)</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b/>
                <w:sz w:val="16"/>
              </w:rPr>
            </w:pPr>
            <w:r w:rsidRPr="00227C94">
              <w:rPr>
                <w:b/>
                <w:sz w:val="16"/>
              </w:rPr>
              <w:t>(72,327)</w:t>
            </w:r>
          </w:p>
        </w:tc>
      </w:tr>
      <w:tr w:rsidR="000572BE" w:rsidRPr="00227C94" w:rsidTr="00A701F4">
        <w:trPr>
          <w:cantSplit/>
        </w:trPr>
        <w:tc>
          <w:tcPr>
            <w:tcW w:w="3189" w:type="dxa"/>
            <w:vAlign w:val="bottom"/>
          </w:tcPr>
          <w:p w:rsidR="000572BE" w:rsidRPr="00227C94" w:rsidRDefault="000572BE" w:rsidP="000572BE">
            <w:pPr>
              <w:pStyle w:val="tblText02"/>
              <w:rPr>
                <w:sz w:val="16"/>
                <w:lang w:val="en-US"/>
              </w:rPr>
            </w:pPr>
            <w:r w:rsidRPr="00227C94">
              <w:rPr>
                <w:sz w:val="16"/>
                <w:lang w:val="en-US"/>
              </w:rPr>
              <w:t xml:space="preserve">Dividends </w:t>
            </w:r>
            <w:r w:rsidRPr="00227C94">
              <w:rPr>
                <w:spacing w:val="-2"/>
                <w:sz w:val="16"/>
                <w:lang w:val="en-US"/>
              </w:rPr>
              <w:t xml:space="preserve">declared </w:t>
            </w:r>
            <w:r w:rsidRPr="00227C94">
              <w:rPr>
                <w:sz w:val="16"/>
                <w:lang w:val="en-US"/>
              </w:rPr>
              <w:t xml:space="preserve">to shareholders of </w:t>
            </w:r>
            <w:r w:rsidRPr="00227C94">
              <w:rPr>
                <w:sz w:val="16"/>
                <w:lang w:val="en-US"/>
              </w:rPr>
              <w:br/>
              <w:t>non-controlling interests</w:t>
            </w:r>
          </w:p>
        </w:tc>
        <w:tc>
          <w:tcPr>
            <w:tcW w:w="674" w:type="dxa"/>
            <w:vAlign w:val="bottom"/>
          </w:tcPr>
          <w:p w:rsidR="000572BE" w:rsidRPr="00227C94" w:rsidRDefault="000572BE" w:rsidP="000572BE">
            <w:pPr>
              <w:pStyle w:val="tblNumber01"/>
              <w:rPr>
                <w:sz w:val="16"/>
                <w:lang w:val="en-US"/>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b/>
                <w:sz w:val="16"/>
              </w:rPr>
            </w:pPr>
            <w:r w:rsidRPr="00227C94">
              <w:rPr>
                <w:b/>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sz w:val="16"/>
              </w:rPr>
            </w:pPr>
            <w:r w:rsidRPr="00227C94">
              <w:rPr>
                <w:sz w:val="16"/>
              </w:rPr>
              <w:t>(13,740)</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b/>
                <w:sz w:val="16"/>
              </w:rPr>
            </w:pPr>
            <w:r w:rsidRPr="00227C94">
              <w:rPr>
                <w:b/>
                <w:sz w:val="16"/>
              </w:rPr>
              <w:t>(13,740)</w:t>
            </w:r>
          </w:p>
        </w:tc>
      </w:tr>
      <w:tr w:rsidR="000572BE" w:rsidRPr="00227C94" w:rsidTr="000572BE">
        <w:trPr>
          <w:cantSplit/>
          <w:trHeight w:hRule="exact" w:val="113"/>
        </w:trPr>
        <w:tc>
          <w:tcPr>
            <w:tcW w:w="3189" w:type="dxa"/>
            <w:vAlign w:val="bottom"/>
          </w:tcPr>
          <w:p w:rsidR="000572BE" w:rsidRPr="00227C94" w:rsidRDefault="000572BE" w:rsidP="000572BE">
            <w:pPr>
              <w:pStyle w:val="tblText02"/>
              <w:rPr>
                <w:sz w:val="16"/>
              </w:rPr>
            </w:pPr>
          </w:p>
        </w:tc>
        <w:tc>
          <w:tcPr>
            <w:tcW w:w="674"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r>
      <w:tr w:rsidR="000572BE" w:rsidRPr="00227C94" w:rsidTr="000572BE">
        <w:trPr>
          <w:cantSplit/>
        </w:trPr>
        <w:tc>
          <w:tcPr>
            <w:tcW w:w="3189" w:type="dxa"/>
            <w:vAlign w:val="bottom"/>
          </w:tcPr>
          <w:p w:rsidR="000572BE" w:rsidRPr="00227C94" w:rsidRDefault="000572BE" w:rsidP="000572BE">
            <w:pPr>
              <w:pStyle w:val="tblText02"/>
              <w:rPr>
                <w:b/>
                <w:sz w:val="16"/>
              </w:rPr>
            </w:pPr>
            <w:r w:rsidRPr="00227C94">
              <w:rPr>
                <w:b/>
                <w:sz w:val="16"/>
              </w:rPr>
              <w:t>Balance at 30 June 2011 (unaudited)</w:t>
            </w:r>
          </w:p>
        </w:tc>
        <w:tc>
          <w:tcPr>
            <w:tcW w:w="674"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2,769,701</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482</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2,308,863</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b/>
                <w:sz w:val="16"/>
              </w:rPr>
            </w:pPr>
            <w:r w:rsidRPr="00227C94">
              <w:rPr>
                <w:b/>
                <w:sz w:val="16"/>
              </w:rPr>
              <w:t>(884,636)</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13,123</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124,792</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1,119,224</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2,681,848</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882,211</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3,564,059</w:t>
            </w:r>
          </w:p>
        </w:tc>
      </w:tr>
      <w:tr w:rsidR="000572BE" w:rsidRPr="00227C94" w:rsidTr="000572BE">
        <w:trPr>
          <w:cantSplit/>
          <w:trHeight w:hRule="exact" w:val="113"/>
        </w:trPr>
        <w:tc>
          <w:tcPr>
            <w:tcW w:w="3189" w:type="dxa"/>
            <w:vAlign w:val="bottom"/>
          </w:tcPr>
          <w:p w:rsidR="000572BE" w:rsidRPr="00227C94" w:rsidRDefault="000572BE" w:rsidP="000572BE">
            <w:pPr>
              <w:pStyle w:val="tblText02"/>
              <w:rPr>
                <w:sz w:val="16"/>
              </w:rPr>
            </w:pPr>
          </w:p>
        </w:tc>
        <w:tc>
          <w:tcPr>
            <w:tcW w:w="674"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r>
      <w:tr w:rsidR="000572BE" w:rsidRPr="00227C94" w:rsidTr="00A701F4">
        <w:trPr>
          <w:cantSplit/>
        </w:trPr>
        <w:tc>
          <w:tcPr>
            <w:tcW w:w="3189" w:type="dxa"/>
            <w:vAlign w:val="bottom"/>
          </w:tcPr>
          <w:p w:rsidR="000572BE" w:rsidRPr="00227C94" w:rsidRDefault="000572BE" w:rsidP="000572BE">
            <w:pPr>
              <w:pStyle w:val="tblText02"/>
              <w:rPr>
                <w:sz w:val="16"/>
                <w:lang w:val="en-US"/>
              </w:rPr>
            </w:pPr>
            <w:r w:rsidRPr="00227C94">
              <w:rPr>
                <w:sz w:val="16"/>
                <w:lang w:val="en-US"/>
              </w:rPr>
              <w:t xml:space="preserve">Profit for the six months ended </w:t>
            </w:r>
            <w:r w:rsidRPr="00227C94">
              <w:rPr>
                <w:sz w:val="16"/>
                <w:lang w:val="en-US"/>
              </w:rPr>
              <w:br/>
              <w:t>31 December 2011</w:t>
            </w:r>
          </w:p>
        </w:tc>
        <w:tc>
          <w:tcPr>
            <w:tcW w:w="674" w:type="dxa"/>
            <w:vAlign w:val="bottom"/>
          </w:tcPr>
          <w:p w:rsidR="000572BE" w:rsidRPr="00227C94" w:rsidRDefault="000572BE" w:rsidP="000572BE">
            <w:pPr>
              <w:pStyle w:val="tblNumber01"/>
              <w:rPr>
                <w:sz w:val="16"/>
                <w:lang w:val="en-US"/>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r w:rsidRPr="00227C94">
              <w:rPr>
                <w:sz w:val="16"/>
              </w:rPr>
              <w:t>280,151</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280,151</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r w:rsidRPr="00227C94">
              <w:rPr>
                <w:sz w:val="16"/>
              </w:rPr>
              <w:t>71,064</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351,215</w:t>
            </w:r>
          </w:p>
        </w:tc>
      </w:tr>
      <w:tr w:rsidR="000572BE" w:rsidRPr="00227C94" w:rsidTr="00A701F4">
        <w:trPr>
          <w:cantSplit/>
        </w:trPr>
        <w:tc>
          <w:tcPr>
            <w:tcW w:w="3189" w:type="dxa"/>
            <w:vAlign w:val="bottom"/>
          </w:tcPr>
          <w:p w:rsidR="000572BE" w:rsidRPr="00227C94" w:rsidRDefault="000572BE" w:rsidP="000572BE">
            <w:pPr>
              <w:pStyle w:val="tblText02"/>
              <w:rPr>
                <w:sz w:val="16"/>
              </w:rPr>
            </w:pPr>
            <w:r w:rsidRPr="00227C94">
              <w:rPr>
                <w:sz w:val="16"/>
              </w:rPr>
              <w:t>Other comprehensive loss</w:t>
            </w:r>
          </w:p>
        </w:tc>
        <w:tc>
          <w:tcPr>
            <w:tcW w:w="674"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sz w:val="16"/>
              </w:rPr>
            </w:pPr>
            <w:r w:rsidRPr="00227C94">
              <w:rPr>
                <w:sz w:val="16"/>
              </w:rPr>
              <w:t>(8,566)</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sz w:val="16"/>
              </w:rPr>
            </w:pPr>
            <w:r w:rsidRPr="00227C94">
              <w:rPr>
                <w:sz w:val="16"/>
              </w:rPr>
              <w:t>(383,218)</w:t>
            </w:r>
          </w:p>
        </w:tc>
        <w:tc>
          <w:tcPr>
            <w:tcW w:w="93" w:type="dxa"/>
            <w:shd w:val="clear" w:color="auto" w:fill="auto"/>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b/>
                <w:sz w:val="16"/>
              </w:rPr>
            </w:pPr>
            <w:r w:rsidRPr="00227C94">
              <w:rPr>
                <w:b/>
                <w:sz w:val="16"/>
              </w:rPr>
              <w:t>(391,784)</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sz w:val="16"/>
              </w:rPr>
            </w:pPr>
            <w:r w:rsidRPr="00227C94">
              <w:rPr>
                <w:sz w:val="16"/>
              </w:rPr>
              <w:t>(68,792)</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b/>
                <w:sz w:val="16"/>
              </w:rPr>
            </w:pPr>
            <w:r w:rsidRPr="00227C94">
              <w:rPr>
                <w:b/>
                <w:sz w:val="16"/>
              </w:rPr>
              <w:t>(460,576)</w:t>
            </w:r>
          </w:p>
        </w:tc>
      </w:tr>
      <w:tr w:rsidR="000572BE" w:rsidRPr="00227C94" w:rsidTr="000572BE">
        <w:trPr>
          <w:cantSplit/>
          <w:trHeight w:hRule="exact" w:val="113"/>
        </w:trPr>
        <w:tc>
          <w:tcPr>
            <w:tcW w:w="3189" w:type="dxa"/>
            <w:vAlign w:val="bottom"/>
          </w:tcPr>
          <w:p w:rsidR="000572BE" w:rsidRPr="00227C94" w:rsidRDefault="000572BE" w:rsidP="000572BE">
            <w:pPr>
              <w:pStyle w:val="tblText02"/>
              <w:rPr>
                <w:sz w:val="16"/>
              </w:rPr>
            </w:pPr>
          </w:p>
        </w:tc>
        <w:tc>
          <w:tcPr>
            <w:tcW w:w="674"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shd w:val="clear" w:color="auto" w:fill="auto"/>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r>
      <w:tr w:rsidR="000572BE" w:rsidRPr="00227C94" w:rsidTr="000572BE">
        <w:trPr>
          <w:cantSplit/>
        </w:trPr>
        <w:tc>
          <w:tcPr>
            <w:tcW w:w="3189" w:type="dxa"/>
            <w:vAlign w:val="bottom"/>
          </w:tcPr>
          <w:p w:rsidR="000572BE" w:rsidRPr="00227C94" w:rsidRDefault="000572BE" w:rsidP="000572BE">
            <w:pPr>
              <w:pStyle w:val="tblText02"/>
              <w:rPr>
                <w:b/>
                <w:sz w:val="16"/>
              </w:rPr>
            </w:pPr>
            <w:r w:rsidRPr="00227C94">
              <w:rPr>
                <w:b/>
                <w:sz w:val="16"/>
              </w:rPr>
              <w:t>Total comprehensive income</w:t>
            </w:r>
          </w:p>
        </w:tc>
        <w:tc>
          <w:tcPr>
            <w:tcW w:w="674"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b/>
                <w:sz w:val="16"/>
              </w:rPr>
            </w:pPr>
            <w:r w:rsidRPr="00227C94">
              <w:rPr>
                <w:b/>
                <w:sz w:val="16"/>
              </w:rPr>
              <w:t>(8,566)</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b/>
                <w:sz w:val="16"/>
              </w:rPr>
            </w:pPr>
            <w:r w:rsidRPr="00227C94">
              <w:rPr>
                <w:b/>
                <w:sz w:val="16"/>
              </w:rPr>
              <w:t>(383,218)</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280,151</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b/>
                <w:sz w:val="16"/>
              </w:rPr>
            </w:pPr>
            <w:r w:rsidRPr="00227C94">
              <w:rPr>
                <w:b/>
                <w:sz w:val="16"/>
              </w:rPr>
              <w:t>(111,633)</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2,272</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b/>
                <w:sz w:val="16"/>
              </w:rPr>
            </w:pPr>
            <w:r w:rsidRPr="00227C94">
              <w:rPr>
                <w:b/>
                <w:sz w:val="16"/>
              </w:rPr>
              <w:t>(109,361)</w:t>
            </w:r>
          </w:p>
        </w:tc>
      </w:tr>
      <w:tr w:rsidR="000572BE" w:rsidRPr="00227C94" w:rsidTr="000572BE">
        <w:trPr>
          <w:cantSplit/>
        </w:trPr>
        <w:tc>
          <w:tcPr>
            <w:tcW w:w="3189" w:type="dxa"/>
            <w:vAlign w:val="bottom"/>
          </w:tcPr>
          <w:p w:rsidR="000572BE" w:rsidRPr="00227C94" w:rsidRDefault="000572BE" w:rsidP="000572BE">
            <w:pPr>
              <w:pStyle w:val="tblText02"/>
              <w:rPr>
                <w:sz w:val="16"/>
              </w:rPr>
            </w:pPr>
          </w:p>
        </w:tc>
        <w:tc>
          <w:tcPr>
            <w:tcW w:w="674"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r>
      <w:tr w:rsidR="000572BE" w:rsidRPr="00227C94" w:rsidTr="000572BE">
        <w:trPr>
          <w:cantSplit/>
        </w:trPr>
        <w:tc>
          <w:tcPr>
            <w:tcW w:w="3189" w:type="dxa"/>
            <w:vAlign w:val="bottom"/>
          </w:tcPr>
          <w:p w:rsidR="000572BE" w:rsidRPr="00227C94" w:rsidRDefault="000572BE" w:rsidP="000572BE">
            <w:pPr>
              <w:pStyle w:val="tblText02"/>
              <w:rPr>
                <w:sz w:val="16"/>
              </w:rPr>
            </w:pPr>
            <w:r w:rsidRPr="00227C94">
              <w:rPr>
                <w:sz w:val="16"/>
              </w:rPr>
              <w:t>Effect of reorganisation</w:t>
            </w:r>
          </w:p>
        </w:tc>
        <w:tc>
          <w:tcPr>
            <w:tcW w:w="674"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r w:rsidRPr="00227C94">
              <w:rPr>
                <w:sz w:val="16"/>
              </w:rPr>
              <w:t>390,477</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390,477</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sz w:val="16"/>
              </w:rPr>
            </w:pPr>
            <w:r w:rsidRPr="00227C94">
              <w:rPr>
                <w:sz w:val="16"/>
              </w:rPr>
              <w:t>(390,477)</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b/>
                <w:sz w:val="16"/>
              </w:rPr>
            </w:pPr>
            <w:r w:rsidRPr="00227C94">
              <w:rPr>
                <w:b/>
                <w:sz w:val="16"/>
              </w:rPr>
              <w:t>-</w:t>
            </w:r>
          </w:p>
        </w:tc>
      </w:tr>
      <w:tr w:rsidR="000572BE" w:rsidRPr="00227C94" w:rsidTr="00A701F4">
        <w:trPr>
          <w:cantSplit/>
        </w:trPr>
        <w:tc>
          <w:tcPr>
            <w:tcW w:w="3189" w:type="dxa"/>
            <w:vAlign w:val="bottom"/>
          </w:tcPr>
          <w:p w:rsidR="000572BE" w:rsidRPr="00227C94" w:rsidRDefault="000572BE" w:rsidP="000572BE">
            <w:pPr>
              <w:pStyle w:val="tblText02"/>
              <w:rPr>
                <w:sz w:val="16"/>
                <w:lang w:val="en-US"/>
              </w:rPr>
            </w:pPr>
            <w:r w:rsidRPr="00227C94">
              <w:rPr>
                <w:sz w:val="16"/>
                <w:lang w:val="en-US"/>
              </w:rPr>
              <w:t>Increase of ownership in subsidiary</w:t>
            </w:r>
          </w:p>
        </w:tc>
        <w:tc>
          <w:tcPr>
            <w:tcW w:w="674" w:type="dxa"/>
            <w:vAlign w:val="bottom"/>
          </w:tcPr>
          <w:p w:rsidR="000572BE" w:rsidRPr="00227C94" w:rsidRDefault="000572BE" w:rsidP="000572BE">
            <w:pPr>
              <w:pStyle w:val="tblNumber01"/>
              <w:rPr>
                <w:sz w:val="16"/>
                <w:lang w:val="en-US"/>
              </w:rPr>
            </w:pPr>
          </w:p>
        </w:tc>
        <w:tc>
          <w:tcPr>
            <w:tcW w:w="987" w:type="dxa"/>
            <w:vAlign w:val="bottom"/>
          </w:tcPr>
          <w:p w:rsidR="000572BE" w:rsidRPr="00227C94" w:rsidRDefault="000572BE" w:rsidP="000572BE">
            <w:pPr>
              <w:pStyle w:val="tblNumber01"/>
              <w:rPr>
                <w:sz w:val="16"/>
              </w:rPr>
            </w:pPr>
            <w:r w:rsidRPr="00227C94">
              <w:rPr>
                <w:sz w:val="16"/>
              </w:rPr>
              <w:t>35,489</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sz w:val="16"/>
              </w:rPr>
            </w:pPr>
            <w:r w:rsidRPr="00227C94">
              <w:rPr>
                <w:sz w:val="16"/>
              </w:rPr>
              <w:t>(119,623)</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r w:rsidRPr="00227C94">
              <w:rPr>
                <w:sz w:val="16"/>
              </w:rPr>
              <w:t>119,623</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sz w:val="16"/>
              </w:rPr>
            </w:pPr>
            <w:r w:rsidRPr="00227C94">
              <w:rPr>
                <w:sz w:val="16"/>
              </w:rPr>
              <w:t>(365,336)</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b/>
                <w:sz w:val="16"/>
              </w:rPr>
            </w:pPr>
            <w:r w:rsidRPr="00227C94">
              <w:rPr>
                <w:b/>
                <w:sz w:val="16"/>
              </w:rPr>
              <w:t>(365,336)</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sz w:val="16"/>
              </w:rPr>
            </w:pPr>
            <w:r w:rsidRPr="00227C94">
              <w:rPr>
                <w:sz w:val="16"/>
              </w:rPr>
              <w:t>(223,480)</w:t>
            </w:r>
          </w:p>
        </w:tc>
        <w:tc>
          <w:tcPr>
            <w:tcW w:w="93"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0"/>
              <w:rPr>
                <w:b/>
                <w:sz w:val="16"/>
              </w:rPr>
            </w:pPr>
            <w:r w:rsidRPr="00227C94">
              <w:rPr>
                <w:b/>
                <w:sz w:val="16"/>
              </w:rPr>
              <w:t>(588,816)</w:t>
            </w:r>
          </w:p>
        </w:tc>
      </w:tr>
      <w:tr w:rsidR="000572BE" w:rsidRPr="00227C94" w:rsidTr="00A701F4">
        <w:trPr>
          <w:cantSplit/>
        </w:trPr>
        <w:tc>
          <w:tcPr>
            <w:tcW w:w="3189" w:type="dxa"/>
            <w:vAlign w:val="bottom"/>
          </w:tcPr>
          <w:p w:rsidR="000572BE" w:rsidRPr="00227C94" w:rsidRDefault="000572BE" w:rsidP="000572BE">
            <w:pPr>
              <w:pStyle w:val="tblText02"/>
              <w:rPr>
                <w:sz w:val="16"/>
                <w:lang w:val="en-US"/>
              </w:rPr>
            </w:pPr>
            <w:r w:rsidRPr="00227C94">
              <w:rPr>
                <w:sz w:val="16"/>
                <w:lang w:val="en-US"/>
              </w:rPr>
              <w:t xml:space="preserve">Dividends </w:t>
            </w:r>
            <w:r w:rsidRPr="00227C94">
              <w:rPr>
                <w:spacing w:val="-2"/>
                <w:sz w:val="16"/>
                <w:lang w:val="en-US"/>
              </w:rPr>
              <w:t xml:space="preserve">declared </w:t>
            </w:r>
            <w:r w:rsidRPr="00227C94">
              <w:rPr>
                <w:sz w:val="16"/>
                <w:lang w:val="en-US"/>
              </w:rPr>
              <w:t xml:space="preserve">to shareholders of </w:t>
            </w:r>
            <w:r w:rsidRPr="00227C94">
              <w:rPr>
                <w:sz w:val="16"/>
                <w:lang w:val="en-US"/>
              </w:rPr>
              <w:br/>
              <w:t>non-controlling interests</w:t>
            </w:r>
          </w:p>
        </w:tc>
        <w:tc>
          <w:tcPr>
            <w:tcW w:w="674" w:type="dxa"/>
            <w:vAlign w:val="bottom"/>
          </w:tcPr>
          <w:p w:rsidR="000572BE" w:rsidRPr="00227C94" w:rsidRDefault="000572BE" w:rsidP="000572BE">
            <w:pPr>
              <w:pStyle w:val="tblNumber01"/>
              <w:rPr>
                <w:sz w:val="16"/>
                <w:lang w:val="en-US"/>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b/>
                <w:sz w:val="16"/>
              </w:rPr>
            </w:pPr>
            <w:r w:rsidRPr="00227C94">
              <w:rPr>
                <w:b/>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sz w:val="16"/>
              </w:rPr>
            </w:pPr>
            <w:r w:rsidRPr="00227C94">
              <w:rPr>
                <w:sz w:val="16"/>
              </w:rPr>
              <w:t>(35,209)</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b/>
                <w:sz w:val="16"/>
              </w:rPr>
            </w:pPr>
            <w:r w:rsidRPr="00227C94">
              <w:rPr>
                <w:b/>
                <w:sz w:val="16"/>
              </w:rPr>
              <w:t>(35,209)</w:t>
            </w:r>
          </w:p>
        </w:tc>
      </w:tr>
      <w:tr w:rsidR="000572BE" w:rsidRPr="00227C94" w:rsidTr="000572BE">
        <w:trPr>
          <w:cantSplit/>
          <w:trHeight w:hRule="exact" w:val="113"/>
        </w:trPr>
        <w:tc>
          <w:tcPr>
            <w:tcW w:w="3189" w:type="dxa"/>
            <w:vAlign w:val="bottom"/>
          </w:tcPr>
          <w:p w:rsidR="000572BE" w:rsidRPr="00227C94" w:rsidRDefault="000572BE" w:rsidP="000572BE">
            <w:pPr>
              <w:pStyle w:val="tblText02"/>
              <w:rPr>
                <w:sz w:val="16"/>
              </w:rPr>
            </w:pPr>
          </w:p>
        </w:tc>
        <w:tc>
          <w:tcPr>
            <w:tcW w:w="674"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r>
      <w:tr w:rsidR="000572BE" w:rsidRPr="00227C94" w:rsidTr="000572BE">
        <w:trPr>
          <w:cantSplit/>
        </w:trPr>
        <w:tc>
          <w:tcPr>
            <w:tcW w:w="3189" w:type="dxa"/>
            <w:vAlign w:val="bottom"/>
          </w:tcPr>
          <w:p w:rsidR="000572BE" w:rsidRPr="00227C94" w:rsidRDefault="000572BE" w:rsidP="000572BE">
            <w:pPr>
              <w:pStyle w:val="tblText02"/>
              <w:rPr>
                <w:b/>
                <w:sz w:val="16"/>
              </w:rPr>
            </w:pPr>
            <w:r w:rsidRPr="00227C94">
              <w:rPr>
                <w:b/>
                <w:sz w:val="16"/>
              </w:rPr>
              <w:t>Balance at 31 December 2011 (audited)</w:t>
            </w:r>
          </w:p>
        </w:tc>
        <w:tc>
          <w:tcPr>
            <w:tcW w:w="674"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b/>
                <w:sz w:val="16"/>
              </w:rPr>
            </w:pPr>
            <w:r w:rsidRPr="00227C94">
              <w:rPr>
                <w:b/>
                <w:sz w:val="16"/>
              </w:rPr>
              <w:t>2,805,190</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b/>
                <w:sz w:val="16"/>
              </w:rPr>
            </w:pPr>
            <w:r w:rsidRPr="00227C94">
              <w:rPr>
                <w:b/>
                <w:sz w:val="16"/>
              </w:rPr>
              <w:t>482</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b/>
                <w:sz w:val="16"/>
              </w:rPr>
            </w:pPr>
            <w:r w:rsidRPr="00227C94">
              <w:rPr>
                <w:b/>
                <w:sz w:val="16"/>
              </w:rPr>
              <w:t>2,189,240</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0"/>
              <w:rPr>
                <w:b/>
                <w:sz w:val="16"/>
              </w:rPr>
            </w:pPr>
            <w:r w:rsidRPr="00227C94">
              <w:rPr>
                <w:b/>
                <w:sz w:val="16"/>
              </w:rPr>
              <w:t>(765,013)</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b/>
                <w:sz w:val="16"/>
              </w:rPr>
            </w:pPr>
            <w:r w:rsidRPr="00227C94">
              <w:rPr>
                <w:b/>
                <w:sz w:val="16"/>
              </w:rPr>
              <w:t>4,557</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0"/>
              <w:rPr>
                <w:b/>
                <w:sz w:val="16"/>
              </w:rPr>
            </w:pPr>
            <w:r w:rsidRPr="00227C94">
              <w:rPr>
                <w:b/>
                <w:sz w:val="16"/>
              </w:rPr>
              <w:t>(258,426)</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b/>
                <w:sz w:val="16"/>
              </w:rPr>
            </w:pPr>
            <w:r w:rsidRPr="00227C94">
              <w:rPr>
                <w:b/>
                <w:sz w:val="16"/>
              </w:rPr>
              <w:t>1,424,516</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b/>
                <w:sz w:val="16"/>
              </w:rPr>
            </w:pPr>
            <w:r w:rsidRPr="00227C94">
              <w:rPr>
                <w:b/>
                <w:sz w:val="16"/>
              </w:rPr>
              <w:t>2,595,356</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b/>
                <w:sz w:val="16"/>
              </w:rPr>
            </w:pPr>
            <w:r w:rsidRPr="00227C94">
              <w:rPr>
                <w:b/>
                <w:sz w:val="16"/>
              </w:rPr>
              <w:t>235,317</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b/>
                <w:sz w:val="16"/>
              </w:rPr>
            </w:pPr>
            <w:r w:rsidRPr="00227C94">
              <w:rPr>
                <w:b/>
                <w:sz w:val="16"/>
              </w:rPr>
              <w:t>2,830,673</w:t>
            </w:r>
          </w:p>
        </w:tc>
      </w:tr>
      <w:tr w:rsidR="000572BE" w:rsidRPr="00227C94" w:rsidTr="000572BE">
        <w:trPr>
          <w:cantSplit/>
          <w:trHeight w:hRule="exact" w:val="113"/>
        </w:trPr>
        <w:tc>
          <w:tcPr>
            <w:tcW w:w="3189" w:type="dxa"/>
            <w:vAlign w:val="bottom"/>
          </w:tcPr>
          <w:p w:rsidR="000572BE" w:rsidRPr="00227C94" w:rsidRDefault="000572BE" w:rsidP="000572BE">
            <w:pPr>
              <w:pStyle w:val="tblText02"/>
              <w:rPr>
                <w:sz w:val="16"/>
              </w:rPr>
            </w:pPr>
          </w:p>
        </w:tc>
        <w:tc>
          <w:tcPr>
            <w:tcW w:w="674"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r>
      <w:tr w:rsidR="000572BE" w:rsidRPr="00227C94" w:rsidTr="00A701F4">
        <w:trPr>
          <w:cantSplit/>
        </w:trPr>
        <w:tc>
          <w:tcPr>
            <w:tcW w:w="3189" w:type="dxa"/>
            <w:vAlign w:val="bottom"/>
          </w:tcPr>
          <w:p w:rsidR="000572BE" w:rsidRPr="00227C94" w:rsidRDefault="000572BE" w:rsidP="000572BE">
            <w:pPr>
              <w:pStyle w:val="tblText02"/>
              <w:rPr>
                <w:sz w:val="16"/>
                <w:lang w:val="en-US"/>
              </w:rPr>
            </w:pPr>
            <w:r w:rsidRPr="00227C94">
              <w:rPr>
                <w:sz w:val="16"/>
                <w:lang w:val="en-US"/>
              </w:rPr>
              <w:t>Profit for the six months ended 30 June 2012</w:t>
            </w:r>
          </w:p>
        </w:tc>
        <w:tc>
          <w:tcPr>
            <w:tcW w:w="674" w:type="dxa"/>
            <w:vAlign w:val="bottom"/>
          </w:tcPr>
          <w:p w:rsidR="000572BE" w:rsidRPr="00227C94" w:rsidRDefault="000572BE" w:rsidP="000572BE">
            <w:pPr>
              <w:pStyle w:val="tblNumber01"/>
              <w:rPr>
                <w:sz w:val="16"/>
                <w:lang w:val="en-US"/>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r w:rsidRPr="00227C94">
              <w:rPr>
                <w:sz w:val="16"/>
              </w:rPr>
              <w:t>389,315</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b/>
                <w:sz w:val="16"/>
              </w:rPr>
            </w:pPr>
            <w:r w:rsidRPr="00227C94">
              <w:rPr>
                <w:b/>
                <w:sz w:val="16"/>
              </w:rPr>
              <w:t>389,315</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r w:rsidRPr="00227C94">
              <w:rPr>
                <w:sz w:val="16"/>
              </w:rPr>
              <w:t>36,581</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b/>
                <w:sz w:val="16"/>
              </w:rPr>
            </w:pPr>
            <w:r w:rsidRPr="00227C94">
              <w:rPr>
                <w:b/>
                <w:sz w:val="16"/>
              </w:rPr>
              <w:t>425,896</w:t>
            </w:r>
          </w:p>
        </w:tc>
      </w:tr>
      <w:tr w:rsidR="000572BE" w:rsidRPr="00227C94" w:rsidTr="00A701F4">
        <w:trPr>
          <w:cantSplit/>
        </w:trPr>
        <w:tc>
          <w:tcPr>
            <w:tcW w:w="3189" w:type="dxa"/>
            <w:vAlign w:val="bottom"/>
          </w:tcPr>
          <w:p w:rsidR="000572BE" w:rsidRPr="00227C94" w:rsidRDefault="000572BE" w:rsidP="000572BE">
            <w:pPr>
              <w:pStyle w:val="tblText02"/>
              <w:rPr>
                <w:sz w:val="16"/>
                <w:lang w:val="en-GB"/>
              </w:rPr>
            </w:pPr>
            <w:r w:rsidRPr="00227C94">
              <w:rPr>
                <w:sz w:val="16"/>
              </w:rPr>
              <w:t>Other comprehensive lo</w:t>
            </w:r>
            <w:r w:rsidR="008C2B6D" w:rsidRPr="00227C94">
              <w:rPr>
                <w:sz w:val="16"/>
                <w:lang w:val="en-GB"/>
              </w:rPr>
              <w:t>ss</w:t>
            </w:r>
          </w:p>
        </w:tc>
        <w:tc>
          <w:tcPr>
            <w:tcW w:w="674"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sz w:val="16"/>
              </w:rPr>
            </w:pPr>
            <w:r w:rsidRPr="00227C94">
              <w:rPr>
                <w:sz w:val="16"/>
              </w:rPr>
              <w:t>(1,791)</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sz w:val="16"/>
              </w:rPr>
            </w:pPr>
            <w:r w:rsidRPr="00227C94">
              <w:rPr>
                <w:sz w:val="16"/>
              </w:rPr>
              <w:t>(85,459)</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b/>
                <w:sz w:val="16"/>
              </w:rPr>
            </w:pPr>
            <w:r w:rsidRPr="00227C94">
              <w:rPr>
                <w:b/>
                <w:sz w:val="16"/>
              </w:rPr>
              <w:t>(87,250)</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sz w:val="16"/>
              </w:rPr>
            </w:pPr>
            <w:r w:rsidRPr="00227C94">
              <w:rPr>
                <w:sz w:val="16"/>
              </w:rPr>
              <w:t>(2,973)</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b/>
                <w:sz w:val="16"/>
              </w:rPr>
            </w:pPr>
            <w:r w:rsidRPr="00227C94">
              <w:rPr>
                <w:b/>
                <w:sz w:val="16"/>
              </w:rPr>
              <w:t>(90,223)</w:t>
            </w:r>
          </w:p>
        </w:tc>
      </w:tr>
      <w:tr w:rsidR="000572BE" w:rsidRPr="00227C94" w:rsidTr="000572BE">
        <w:trPr>
          <w:cantSplit/>
          <w:trHeight w:hRule="exact" w:val="113"/>
        </w:trPr>
        <w:tc>
          <w:tcPr>
            <w:tcW w:w="3189" w:type="dxa"/>
            <w:vAlign w:val="bottom"/>
          </w:tcPr>
          <w:p w:rsidR="000572BE" w:rsidRPr="00227C94" w:rsidRDefault="000572BE" w:rsidP="000572BE">
            <w:pPr>
              <w:pStyle w:val="tblText02"/>
              <w:rPr>
                <w:sz w:val="16"/>
              </w:rPr>
            </w:pPr>
          </w:p>
        </w:tc>
        <w:tc>
          <w:tcPr>
            <w:tcW w:w="674"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r>
      <w:tr w:rsidR="000572BE" w:rsidRPr="00227C94" w:rsidTr="000572BE">
        <w:trPr>
          <w:cantSplit/>
        </w:trPr>
        <w:tc>
          <w:tcPr>
            <w:tcW w:w="3189" w:type="dxa"/>
            <w:vAlign w:val="bottom"/>
          </w:tcPr>
          <w:p w:rsidR="000572BE" w:rsidRPr="00227C94" w:rsidRDefault="000572BE" w:rsidP="000572BE">
            <w:pPr>
              <w:pStyle w:val="tblText02"/>
              <w:rPr>
                <w:b/>
                <w:sz w:val="16"/>
              </w:rPr>
            </w:pPr>
            <w:r w:rsidRPr="00227C94">
              <w:rPr>
                <w:b/>
                <w:sz w:val="16"/>
              </w:rPr>
              <w:t>Total comprehensive income</w:t>
            </w:r>
          </w:p>
        </w:tc>
        <w:tc>
          <w:tcPr>
            <w:tcW w:w="674"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0"/>
              <w:rPr>
                <w:b/>
                <w:bCs/>
                <w:sz w:val="16"/>
              </w:rPr>
            </w:pPr>
            <w:r w:rsidRPr="00227C94">
              <w:rPr>
                <w:b/>
                <w:sz w:val="16"/>
              </w:rPr>
              <w:t>(1,791)</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0"/>
              <w:rPr>
                <w:b/>
                <w:bCs/>
                <w:sz w:val="16"/>
              </w:rPr>
            </w:pPr>
            <w:r w:rsidRPr="00227C94">
              <w:rPr>
                <w:b/>
                <w:sz w:val="16"/>
              </w:rPr>
              <w:t>(85,459)</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b/>
                <w:sz w:val="16"/>
              </w:rPr>
            </w:pPr>
            <w:r w:rsidRPr="00227C94">
              <w:rPr>
                <w:b/>
                <w:sz w:val="16"/>
              </w:rPr>
              <w:t>389,315</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b/>
                <w:sz w:val="16"/>
              </w:rPr>
            </w:pPr>
            <w:r w:rsidRPr="00227C94">
              <w:rPr>
                <w:b/>
                <w:sz w:val="16"/>
              </w:rPr>
              <w:t>302,065</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b/>
                <w:sz w:val="16"/>
              </w:rPr>
            </w:pPr>
            <w:r w:rsidRPr="00227C94">
              <w:rPr>
                <w:b/>
                <w:sz w:val="16"/>
              </w:rPr>
              <w:t>33,608</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b/>
                <w:sz w:val="16"/>
              </w:rPr>
            </w:pPr>
            <w:r w:rsidRPr="00227C94">
              <w:rPr>
                <w:b/>
                <w:sz w:val="16"/>
              </w:rPr>
              <w:t>335,673</w:t>
            </w:r>
          </w:p>
        </w:tc>
      </w:tr>
      <w:tr w:rsidR="000572BE" w:rsidRPr="00227C94" w:rsidTr="000572BE">
        <w:trPr>
          <w:cantSplit/>
          <w:trHeight w:hRule="exact" w:val="113"/>
        </w:trPr>
        <w:tc>
          <w:tcPr>
            <w:tcW w:w="3189" w:type="dxa"/>
            <w:vAlign w:val="bottom"/>
          </w:tcPr>
          <w:p w:rsidR="000572BE" w:rsidRPr="00227C94" w:rsidRDefault="000572BE" w:rsidP="000572BE">
            <w:pPr>
              <w:pStyle w:val="tblText02"/>
              <w:rPr>
                <w:sz w:val="16"/>
              </w:rPr>
            </w:pPr>
          </w:p>
        </w:tc>
        <w:tc>
          <w:tcPr>
            <w:tcW w:w="674" w:type="dxa"/>
            <w:vAlign w:val="bottom"/>
          </w:tcPr>
          <w:p w:rsidR="000572BE" w:rsidRPr="00227C94" w:rsidRDefault="000572BE" w:rsidP="000572BE">
            <w:pPr>
              <w:pStyle w:val="tblNumber01"/>
              <w:rPr>
                <w:sz w:val="16"/>
              </w:rPr>
            </w:pPr>
          </w:p>
        </w:tc>
        <w:tc>
          <w:tcPr>
            <w:tcW w:w="987" w:type="dxa"/>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p>
        </w:tc>
      </w:tr>
      <w:tr w:rsidR="000572BE" w:rsidRPr="00227C94" w:rsidTr="000572BE">
        <w:trPr>
          <w:cantSplit/>
        </w:trPr>
        <w:tc>
          <w:tcPr>
            <w:tcW w:w="3189" w:type="dxa"/>
            <w:vAlign w:val="bottom"/>
          </w:tcPr>
          <w:p w:rsidR="000572BE" w:rsidRPr="00227C94" w:rsidRDefault="000572BE" w:rsidP="000572BE">
            <w:pPr>
              <w:pStyle w:val="tblText02"/>
              <w:rPr>
                <w:b/>
                <w:bCs/>
                <w:sz w:val="16"/>
                <w:lang w:val="en-US"/>
              </w:rPr>
            </w:pPr>
            <w:r w:rsidRPr="00227C94">
              <w:rPr>
                <w:sz w:val="16"/>
                <w:lang w:val="en-US"/>
              </w:rPr>
              <w:t xml:space="preserve">Dividends declared to shareholders of </w:t>
            </w:r>
            <w:r w:rsidRPr="00227C94">
              <w:rPr>
                <w:sz w:val="16"/>
                <w:lang w:val="en-US"/>
              </w:rPr>
              <w:br/>
              <w:t>the Company</w:t>
            </w:r>
          </w:p>
        </w:tc>
        <w:tc>
          <w:tcPr>
            <w:tcW w:w="674" w:type="dxa"/>
            <w:vAlign w:val="bottom"/>
          </w:tcPr>
          <w:p w:rsidR="000572BE" w:rsidRPr="00227C94" w:rsidRDefault="000572BE" w:rsidP="000572BE">
            <w:pPr>
              <w:pStyle w:val="tblNumber01"/>
              <w:jc w:val="center"/>
              <w:rPr>
                <w:sz w:val="16"/>
              </w:rPr>
            </w:pPr>
            <w:r w:rsidRPr="00227C94">
              <w:rPr>
                <w:sz w:val="16"/>
              </w:rPr>
              <w:t>15</w:t>
            </w: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0"/>
              <w:rPr>
                <w:sz w:val="16"/>
              </w:rPr>
            </w:pPr>
            <w:r w:rsidRPr="00227C94">
              <w:rPr>
                <w:sz w:val="16"/>
              </w:rPr>
              <w:t>(124,318)</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0"/>
              <w:rPr>
                <w:b/>
                <w:sz w:val="16"/>
              </w:rPr>
            </w:pPr>
            <w:r w:rsidRPr="00227C94">
              <w:rPr>
                <w:b/>
                <w:sz w:val="16"/>
              </w:rPr>
              <w:t>(124,318)</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0"/>
              <w:rPr>
                <w:b/>
                <w:sz w:val="16"/>
              </w:rPr>
            </w:pPr>
            <w:r w:rsidRPr="00227C94">
              <w:rPr>
                <w:b/>
                <w:sz w:val="16"/>
              </w:rPr>
              <w:t>(124,318)</w:t>
            </w:r>
          </w:p>
        </w:tc>
      </w:tr>
      <w:tr w:rsidR="000572BE" w:rsidRPr="00227C94" w:rsidTr="000572BE">
        <w:trPr>
          <w:cantSplit/>
        </w:trPr>
        <w:tc>
          <w:tcPr>
            <w:tcW w:w="3189" w:type="dxa"/>
            <w:vAlign w:val="bottom"/>
          </w:tcPr>
          <w:p w:rsidR="000572BE" w:rsidRPr="00227C94" w:rsidRDefault="000572BE" w:rsidP="000572BE">
            <w:pPr>
              <w:pStyle w:val="tblText02"/>
              <w:rPr>
                <w:sz w:val="16"/>
              </w:rPr>
            </w:pPr>
            <w:r w:rsidRPr="00227C94">
              <w:rPr>
                <w:sz w:val="16"/>
              </w:rPr>
              <w:t>Sale of treasury shares</w:t>
            </w:r>
          </w:p>
        </w:tc>
        <w:tc>
          <w:tcPr>
            <w:tcW w:w="674" w:type="dxa"/>
            <w:vAlign w:val="bottom"/>
          </w:tcPr>
          <w:p w:rsidR="000572BE" w:rsidRPr="00227C94" w:rsidRDefault="000572BE" w:rsidP="000572BE">
            <w:pPr>
              <w:pStyle w:val="tblNumber01"/>
              <w:jc w:val="center"/>
              <w:rPr>
                <w:sz w:val="16"/>
              </w:rPr>
            </w:pPr>
            <w:r w:rsidRPr="00227C94">
              <w:rPr>
                <w:sz w:val="16"/>
              </w:rPr>
              <w:t>15</w:t>
            </w:r>
          </w:p>
        </w:tc>
        <w:tc>
          <w:tcPr>
            <w:tcW w:w="987" w:type="dxa"/>
            <w:vAlign w:val="bottom"/>
          </w:tcPr>
          <w:p w:rsidR="000572BE" w:rsidRPr="00227C94" w:rsidRDefault="000572BE" w:rsidP="000572BE">
            <w:pPr>
              <w:pStyle w:val="tblNumber01"/>
              <w:rPr>
                <w:sz w:val="16"/>
              </w:rPr>
            </w:pPr>
            <w:r w:rsidRPr="00227C94">
              <w:rPr>
                <w:sz w:val="16"/>
              </w:rPr>
              <w:t>226,960</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r w:rsidRPr="00227C94">
              <w:rPr>
                <w:sz w:val="16"/>
              </w:rPr>
              <w:t>727,538</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0"/>
              <w:rPr>
                <w:sz w:val="16"/>
              </w:rPr>
            </w:pPr>
            <w:r w:rsidRPr="00227C94">
              <w:rPr>
                <w:sz w:val="16"/>
              </w:rPr>
              <w:t>(133,484)</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b/>
                <w:sz w:val="16"/>
              </w:rPr>
            </w:pPr>
            <w:r w:rsidRPr="00227C94">
              <w:rPr>
                <w:b/>
                <w:sz w:val="16"/>
              </w:rPr>
              <w:t>594,054</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r w:rsidRPr="00227C94">
              <w:rPr>
                <w:sz w:val="16"/>
              </w:rPr>
              <w:t>30,318</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b/>
                <w:sz w:val="16"/>
              </w:rPr>
            </w:pPr>
            <w:r w:rsidRPr="00227C94">
              <w:rPr>
                <w:b/>
                <w:sz w:val="16"/>
              </w:rPr>
              <w:t>624,372</w:t>
            </w:r>
          </w:p>
        </w:tc>
      </w:tr>
      <w:tr w:rsidR="000572BE" w:rsidRPr="00227C94" w:rsidTr="00A701F4">
        <w:trPr>
          <w:cantSplit/>
        </w:trPr>
        <w:tc>
          <w:tcPr>
            <w:tcW w:w="3189" w:type="dxa"/>
            <w:vAlign w:val="bottom"/>
          </w:tcPr>
          <w:p w:rsidR="000572BE" w:rsidRPr="00227C94" w:rsidRDefault="000572BE" w:rsidP="000572BE">
            <w:pPr>
              <w:pStyle w:val="tblText02"/>
              <w:rPr>
                <w:sz w:val="16"/>
                <w:lang w:val="en-US"/>
              </w:rPr>
            </w:pPr>
            <w:r w:rsidRPr="00227C94">
              <w:rPr>
                <w:sz w:val="16"/>
                <w:lang w:val="en-US"/>
              </w:rPr>
              <w:t>Transfer of balance relating to call option</w:t>
            </w:r>
          </w:p>
        </w:tc>
        <w:tc>
          <w:tcPr>
            <w:tcW w:w="674" w:type="dxa"/>
            <w:vAlign w:val="bottom"/>
          </w:tcPr>
          <w:p w:rsidR="000572BE" w:rsidRPr="00227C94" w:rsidRDefault="000572BE" w:rsidP="000572BE">
            <w:pPr>
              <w:pStyle w:val="tblNumber01"/>
              <w:jc w:val="center"/>
              <w:rPr>
                <w:sz w:val="16"/>
              </w:rPr>
            </w:pPr>
            <w:r w:rsidRPr="00227C94">
              <w:rPr>
                <w:sz w:val="16"/>
              </w:rPr>
              <w:t>15</w:t>
            </w:r>
          </w:p>
        </w:tc>
        <w:tc>
          <w:tcPr>
            <w:tcW w:w="987" w:type="dxa"/>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0"/>
              <w:rPr>
                <w:sz w:val="16"/>
              </w:rPr>
            </w:pPr>
            <w:r w:rsidRPr="00227C94">
              <w:rPr>
                <w:sz w:val="16"/>
              </w:rPr>
              <w:t>(37,475)</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01"/>
              <w:rPr>
                <w:sz w:val="16"/>
              </w:rPr>
            </w:pPr>
            <w:r w:rsidRPr="00227C94">
              <w:rPr>
                <w:sz w:val="16"/>
              </w:rPr>
              <w:t>37,475</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shd w:val="clear" w:color="auto" w:fill="auto"/>
            <w:vAlign w:val="bottom"/>
          </w:tcPr>
          <w:p w:rsidR="000572BE" w:rsidRPr="00227C94" w:rsidRDefault="000572BE" w:rsidP="000572BE">
            <w:pPr>
              <w:pStyle w:val="tblNumberDash"/>
              <w:rPr>
                <w:sz w:val="16"/>
              </w:rPr>
            </w:pPr>
            <w:r w:rsidRPr="00227C94">
              <w:rPr>
                <w:sz w:val="16"/>
              </w:rPr>
              <w:t>-</w:t>
            </w:r>
          </w:p>
        </w:tc>
      </w:tr>
      <w:tr w:rsidR="000572BE" w:rsidRPr="00227C94" w:rsidTr="00A701F4">
        <w:trPr>
          <w:cantSplit/>
        </w:trPr>
        <w:tc>
          <w:tcPr>
            <w:tcW w:w="3189" w:type="dxa"/>
            <w:vAlign w:val="bottom"/>
          </w:tcPr>
          <w:p w:rsidR="000572BE" w:rsidRPr="00227C94" w:rsidRDefault="000572BE" w:rsidP="000572BE">
            <w:pPr>
              <w:pStyle w:val="tblText02"/>
              <w:rPr>
                <w:sz w:val="16"/>
                <w:lang w:val="en-US"/>
              </w:rPr>
            </w:pPr>
            <w:r w:rsidRPr="00227C94">
              <w:rPr>
                <w:sz w:val="16"/>
                <w:lang w:val="en-US"/>
              </w:rPr>
              <w:t xml:space="preserve">Dividends </w:t>
            </w:r>
            <w:r w:rsidRPr="00227C94">
              <w:rPr>
                <w:spacing w:val="-2"/>
                <w:sz w:val="16"/>
                <w:lang w:val="en-US"/>
              </w:rPr>
              <w:t xml:space="preserve">declared </w:t>
            </w:r>
            <w:r w:rsidRPr="00227C94">
              <w:rPr>
                <w:sz w:val="16"/>
                <w:lang w:val="en-US"/>
              </w:rPr>
              <w:t xml:space="preserve">to shareholders of </w:t>
            </w:r>
            <w:r w:rsidRPr="00227C94">
              <w:rPr>
                <w:sz w:val="16"/>
                <w:lang w:val="en-US"/>
              </w:rPr>
              <w:br/>
              <w:t>non-controlling interests</w:t>
            </w:r>
          </w:p>
        </w:tc>
        <w:tc>
          <w:tcPr>
            <w:tcW w:w="674" w:type="dxa"/>
            <w:vAlign w:val="bottom"/>
          </w:tcPr>
          <w:p w:rsidR="000572BE" w:rsidRPr="00227C94" w:rsidRDefault="000572BE" w:rsidP="000572BE">
            <w:pPr>
              <w:pStyle w:val="tblNumber01"/>
              <w:rPr>
                <w:sz w:val="16"/>
                <w:lang w:val="en-US"/>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sz w:val="16"/>
              </w:rPr>
            </w:pPr>
            <w:r w:rsidRPr="00227C94">
              <w:rPr>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Dash"/>
              <w:rPr>
                <w:b/>
                <w:sz w:val="16"/>
              </w:rPr>
            </w:pPr>
            <w:r w:rsidRPr="00227C94">
              <w:rPr>
                <w:b/>
                <w:sz w:val="16"/>
              </w:rPr>
              <w:t>-</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sz w:val="16"/>
              </w:rPr>
            </w:pPr>
            <w:r w:rsidRPr="00227C94">
              <w:rPr>
                <w:sz w:val="16"/>
              </w:rPr>
              <w:t>(9,725)</w:t>
            </w:r>
          </w:p>
        </w:tc>
        <w:tc>
          <w:tcPr>
            <w:tcW w:w="93" w:type="dxa"/>
            <w:vAlign w:val="bottom"/>
          </w:tcPr>
          <w:p w:rsidR="000572BE" w:rsidRPr="00227C94" w:rsidRDefault="000572BE" w:rsidP="000572BE">
            <w:pPr>
              <w:pStyle w:val="tblNumber01"/>
              <w:rPr>
                <w:sz w:val="16"/>
              </w:rPr>
            </w:pPr>
          </w:p>
        </w:tc>
        <w:tc>
          <w:tcPr>
            <w:tcW w:w="987" w:type="dxa"/>
            <w:tcBorders>
              <w:bottom w:val="single" w:sz="6" w:space="0" w:color="auto"/>
            </w:tcBorders>
            <w:shd w:val="clear" w:color="auto" w:fill="auto"/>
            <w:vAlign w:val="bottom"/>
          </w:tcPr>
          <w:p w:rsidR="000572BE" w:rsidRPr="00227C94" w:rsidRDefault="000572BE" w:rsidP="000572BE">
            <w:pPr>
              <w:pStyle w:val="tblNumber00"/>
              <w:rPr>
                <w:b/>
                <w:sz w:val="16"/>
              </w:rPr>
            </w:pPr>
            <w:r w:rsidRPr="00227C94">
              <w:rPr>
                <w:b/>
                <w:sz w:val="16"/>
              </w:rPr>
              <w:t>(9,725)</w:t>
            </w:r>
          </w:p>
        </w:tc>
      </w:tr>
      <w:tr w:rsidR="000572BE" w:rsidRPr="00227C94" w:rsidTr="00A701F4">
        <w:trPr>
          <w:cantSplit/>
          <w:trHeight w:hRule="exact" w:val="113"/>
        </w:trPr>
        <w:tc>
          <w:tcPr>
            <w:tcW w:w="3189" w:type="dxa"/>
            <w:vAlign w:val="bottom"/>
          </w:tcPr>
          <w:p w:rsidR="000572BE" w:rsidRPr="00227C94" w:rsidRDefault="000572BE" w:rsidP="000572BE">
            <w:pPr>
              <w:pStyle w:val="tblText02"/>
              <w:rPr>
                <w:sz w:val="16"/>
              </w:rPr>
            </w:pPr>
          </w:p>
        </w:tc>
        <w:tc>
          <w:tcPr>
            <w:tcW w:w="674"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c>
          <w:tcPr>
            <w:tcW w:w="93" w:type="dxa"/>
            <w:vAlign w:val="bottom"/>
          </w:tcPr>
          <w:p w:rsidR="000572BE" w:rsidRPr="00227C94" w:rsidRDefault="000572BE" w:rsidP="000572BE">
            <w:pPr>
              <w:pStyle w:val="tblNumber01"/>
              <w:rPr>
                <w:sz w:val="16"/>
              </w:rPr>
            </w:pPr>
          </w:p>
        </w:tc>
        <w:tc>
          <w:tcPr>
            <w:tcW w:w="987" w:type="dxa"/>
            <w:tcBorders>
              <w:top w:val="single" w:sz="6" w:space="0" w:color="auto"/>
            </w:tcBorders>
            <w:shd w:val="clear" w:color="auto" w:fill="auto"/>
            <w:vAlign w:val="bottom"/>
          </w:tcPr>
          <w:p w:rsidR="000572BE" w:rsidRPr="00227C94" w:rsidRDefault="000572BE" w:rsidP="000572BE">
            <w:pPr>
              <w:pStyle w:val="tblNumber01"/>
              <w:rPr>
                <w:sz w:val="16"/>
              </w:rPr>
            </w:pPr>
          </w:p>
        </w:tc>
      </w:tr>
      <w:tr w:rsidR="000572BE" w:rsidRPr="00227C94" w:rsidTr="000572BE">
        <w:trPr>
          <w:cantSplit/>
        </w:trPr>
        <w:tc>
          <w:tcPr>
            <w:tcW w:w="3189" w:type="dxa"/>
            <w:vAlign w:val="bottom"/>
          </w:tcPr>
          <w:p w:rsidR="000572BE" w:rsidRPr="00227C94" w:rsidRDefault="000572BE" w:rsidP="000572BE">
            <w:pPr>
              <w:pStyle w:val="tblText02"/>
              <w:rPr>
                <w:b/>
                <w:sz w:val="16"/>
              </w:rPr>
            </w:pPr>
            <w:r w:rsidRPr="00227C94">
              <w:rPr>
                <w:b/>
                <w:sz w:val="16"/>
              </w:rPr>
              <w:t>Balance at 30 June 2012 (unaudited)</w:t>
            </w:r>
          </w:p>
        </w:tc>
        <w:tc>
          <w:tcPr>
            <w:tcW w:w="674" w:type="dxa"/>
            <w:vAlign w:val="bottom"/>
          </w:tcPr>
          <w:p w:rsidR="000572BE" w:rsidRPr="00227C94" w:rsidRDefault="000572BE" w:rsidP="000572BE">
            <w:pPr>
              <w:pStyle w:val="tblNumber01"/>
              <w:rPr>
                <w:sz w:val="16"/>
              </w:rPr>
            </w:pPr>
          </w:p>
        </w:tc>
        <w:tc>
          <w:tcPr>
            <w:tcW w:w="987" w:type="dxa"/>
            <w:tcBorders>
              <w:bottom w:val="double" w:sz="6" w:space="0" w:color="auto"/>
            </w:tcBorders>
            <w:shd w:val="clear" w:color="auto" w:fill="auto"/>
            <w:vAlign w:val="bottom"/>
          </w:tcPr>
          <w:p w:rsidR="000572BE" w:rsidRPr="00227C94" w:rsidRDefault="000572BE" w:rsidP="000572BE">
            <w:pPr>
              <w:pStyle w:val="tblNumber01"/>
              <w:rPr>
                <w:b/>
                <w:sz w:val="16"/>
              </w:rPr>
            </w:pPr>
            <w:r w:rsidRPr="00227C94">
              <w:rPr>
                <w:b/>
                <w:sz w:val="16"/>
              </w:rPr>
              <w:t>3,032,150</w:t>
            </w:r>
          </w:p>
        </w:tc>
        <w:tc>
          <w:tcPr>
            <w:tcW w:w="93" w:type="dxa"/>
            <w:shd w:val="clear" w:color="auto" w:fill="auto"/>
            <w:vAlign w:val="bottom"/>
          </w:tcPr>
          <w:p w:rsidR="000572BE" w:rsidRPr="00227C94" w:rsidRDefault="000572BE" w:rsidP="000572BE">
            <w:pPr>
              <w:pStyle w:val="tblNumber01"/>
              <w:rPr>
                <w:sz w:val="16"/>
              </w:rPr>
            </w:pPr>
          </w:p>
        </w:tc>
        <w:tc>
          <w:tcPr>
            <w:tcW w:w="987" w:type="dxa"/>
            <w:tcBorders>
              <w:bottom w:val="double" w:sz="6" w:space="0" w:color="auto"/>
            </w:tcBorders>
            <w:shd w:val="clear" w:color="auto" w:fill="auto"/>
            <w:vAlign w:val="bottom"/>
          </w:tcPr>
          <w:p w:rsidR="000572BE" w:rsidRPr="00227C94" w:rsidRDefault="000572BE" w:rsidP="000572BE">
            <w:pPr>
              <w:pStyle w:val="tblNumber01"/>
              <w:rPr>
                <w:b/>
                <w:sz w:val="16"/>
              </w:rPr>
            </w:pPr>
            <w:r w:rsidRPr="00227C94">
              <w:rPr>
                <w:b/>
                <w:sz w:val="16"/>
              </w:rPr>
              <w:t>482</w:t>
            </w:r>
          </w:p>
        </w:tc>
        <w:tc>
          <w:tcPr>
            <w:tcW w:w="93" w:type="dxa"/>
            <w:shd w:val="clear" w:color="auto" w:fill="auto"/>
            <w:vAlign w:val="bottom"/>
          </w:tcPr>
          <w:p w:rsidR="000572BE" w:rsidRPr="00227C94" w:rsidRDefault="000572BE" w:rsidP="000572BE">
            <w:pPr>
              <w:pStyle w:val="tblNumber01"/>
              <w:rPr>
                <w:sz w:val="16"/>
              </w:rPr>
            </w:pPr>
          </w:p>
        </w:tc>
        <w:tc>
          <w:tcPr>
            <w:tcW w:w="987" w:type="dxa"/>
            <w:tcBorders>
              <w:bottom w:val="double" w:sz="6" w:space="0" w:color="auto"/>
            </w:tcBorders>
            <w:shd w:val="clear" w:color="auto" w:fill="auto"/>
            <w:vAlign w:val="bottom"/>
          </w:tcPr>
          <w:p w:rsidR="000572BE" w:rsidRPr="00227C94" w:rsidRDefault="000572BE" w:rsidP="000572BE">
            <w:pPr>
              <w:pStyle w:val="tblNumber01"/>
              <w:rPr>
                <w:b/>
                <w:sz w:val="16"/>
              </w:rPr>
            </w:pPr>
            <w:r w:rsidRPr="00227C94">
              <w:rPr>
                <w:b/>
                <w:sz w:val="16"/>
              </w:rPr>
              <w:t>2,151,765</w:t>
            </w:r>
          </w:p>
        </w:tc>
        <w:tc>
          <w:tcPr>
            <w:tcW w:w="93" w:type="dxa"/>
            <w:shd w:val="clear" w:color="auto" w:fill="auto"/>
            <w:vAlign w:val="bottom"/>
          </w:tcPr>
          <w:p w:rsidR="000572BE" w:rsidRPr="00227C94" w:rsidRDefault="000572BE" w:rsidP="000572BE">
            <w:pPr>
              <w:pStyle w:val="tblNumber01"/>
              <w:rPr>
                <w:sz w:val="16"/>
              </w:rPr>
            </w:pPr>
          </w:p>
        </w:tc>
        <w:tc>
          <w:tcPr>
            <w:tcW w:w="987" w:type="dxa"/>
            <w:tcBorders>
              <w:bottom w:val="double" w:sz="6" w:space="0" w:color="auto"/>
            </w:tcBorders>
            <w:shd w:val="clear" w:color="auto" w:fill="auto"/>
            <w:vAlign w:val="bottom"/>
          </w:tcPr>
          <w:p w:rsidR="000572BE" w:rsidRPr="00227C94" w:rsidRDefault="000572BE" w:rsidP="000572BE">
            <w:pPr>
              <w:pStyle w:val="tblNumberDash"/>
              <w:rPr>
                <w:b/>
                <w:sz w:val="16"/>
              </w:rPr>
            </w:pPr>
            <w:r w:rsidRPr="00227C94">
              <w:rPr>
                <w:b/>
                <w:sz w:val="16"/>
              </w:rPr>
              <w:t>-</w:t>
            </w:r>
          </w:p>
        </w:tc>
        <w:tc>
          <w:tcPr>
            <w:tcW w:w="93" w:type="dxa"/>
            <w:shd w:val="clear" w:color="auto" w:fill="auto"/>
            <w:vAlign w:val="bottom"/>
          </w:tcPr>
          <w:p w:rsidR="000572BE" w:rsidRPr="00227C94" w:rsidRDefault="000572BE" w:rsidP="000572BE">
            <w:pPr>
              <w:pStyle w:val="tblNumber01"/>
              <w:rPr>
                <w:sz w:val="16"/>
              </w:rPr>
            </w:pPr>
          </w:p>
        </w:tc>
        <w:tc>
          <w:tcPr>
            <w:tcW w:w="987" w:type="dxa"/>
            <w:tcBorders>
              <w:bottom w:val="double" w:sz="6" w:space="0" w:color="auto"/>
            </w:tcBorders>
            <w:shd w:val="clear" w:color="auto" w:fill="auto"/>
            <w:vAlign w:val="bottom"/>
          </w:tcPr>
          <w:p w:rsidR="000572BE" w:rsidRPr="00227C94" w:rsidRDefault="000572BE" w:rsidP="000572BE">
            <w:pPr>
              <w:pStyle w:val="tblNumber01"/>
              <w:rPr>
                <w:b/>
                <w:sz w:val="16"/>
              </w:rPr>
            </w:pPr>
            <w:r w:rsidRPr="00227C94">
              <w:rPr>
                <w:b/>
                <w:sz w:val="16"/>
              </w:rPr>
              <w:t>2,766</w:t>
            </w:r>
          </w:p>
        </w:tc>
        <w:tc>
          <w:tcPr>
            <w:tcW w:w="93" w:type="dxa"/>
            <w:shd w:val="clear" w:color="auto" w:fill="auto"/>
            <w:vAlign w:val="bottom"/>
          </w:tcPr>
          <w:p w:rsidR="000572BE" w:rsidRPr="00227C94" w:rsidRDefault="000572BE" w:rsidP="000572BE">
            <w:pPr>
              <w:pStyle w:val="tblNumber01"/>
              <w:rPr>
                <w:sz w:val="16"/>
              </w:rPr>
            </w:pPr>
          </w:p>
        </w:tc>
        <w:tc>
          <w:tcPr>
            <w:tcW w:w="987" w:type="dxa"/>
            <w:tcBorders>
              <w:bottom w:val="double" w:sz="6" w:space="0" w:color="auto"/>
            </w:tcBorders>
            <w:shd w:val="clear" w:color="auto" w:fill="auto"/>
            <w:vAlign w:val="bottom"/>
          </w:tcPr>
          <w:p w:rsidR="000572BE" w:rsidRPr="00227C94" w:rsidRDefault="000572BE" w:rsidP="000572BE">
            <w:pPr>
              <w:pStyle w:val="tblNumber00"/>
              <w:rPr>
                <w:b/>
                <w:sz w:val="16"/>
              </w:rPr>
            </w:pPr>
            <w:r w:rsidRPr="00227C94">
              <w:rPr>
                <w:b/>
                <w:sz w:val="16"/>
              </w:rPr>
              <w:t>(343,885)</w:t>
            </w:r>
          </w:p>
        </w:tc>
        <w:tc>
          <w:tcPr>
            <w:tcW w:w="93" w:type="dxa"/>
            <w:shd w:val="clear" w:color="auto" w:fill="auto"/>
            <w:vAlign w:val="bottom"/>
          </w:tcPr>
          <w:p w:rsidR="000572BE" w:rsidRPr="00227C94" w:rsidRDefault="000572BE" w:rsidP="000572BE">
            <w:pPr>
              <w:pStyle w:val="tblNumber01"/>
              <w:rPr>
                <w:sz w:val="16"/>
              </w:rPr>
            </w:pPr>
          </w:p>
        </w:tc>
        <w:tc>
          <w:tcPr>
            <w:tcW w:w="987" w:type="dxa"/>
            <w:tcBorders>
              <w:bottom w:val="double" w:sz="6" w:space="0" w:color="auto"/>
            </w:tcBorders>
            <w:shd w:val="clear" w:color="auto" w:fill="auto"/>
            <w:vAlign w:val="bottom"/>
          </w:tcPr>
          <w:p w:rsidR="000572BE" w:rsidRPr="00227C94" w:rsidRDefault="000572BE" w:rsidP="000572BE">
            <w:pPr>
              <w:pStyle w:val="tblNumber01"/>
              <w:rPr>
                <w:b/>
                <w:sz w:val="16"/>
              </w:rPr>
            </w:pPr>
            <w:r w:rsidRPr="00227C94">
              <w:rPr>
                <w:b/>
                <w:sz w:val="16"/>
              </w:rPr>
              <w:t>1,556,029</w:t>
            </w:r>
          </w:p>
        </w:tc>
        <w:tc>
          <w:tcPr>
            <w:tcW w:w="93" w:type="dxa"/>
            <w:shd w:val="clear" w:color="auto" w:fill="auto"/>
            <w:vAlign w:val="bottom"/>
          </w:tcPr>
          <w:p w:rsidR="000572BE" w:rsidRPr="00227C94" w:rsidRDefault="000572BE" w:rsidP="000572BE">
            <w:pPr>
              <w:pStyle w:val="tblNumber01"/>
              <w:rPr>
                <w:sz w:val="16"/>
              </w:rPr>
            </w:pPr>
          </w:p>
        </w:tc>
        <w:tc>
          <w:tcPr>
            <w:tcW w:w="987" w:type="dxa"/>
            <w:tcBorders>
              <w:bottom w:val="double" w:sz="6" w:space="0" w:color="auto"/>
            </w:tcBorders>
            <w:shd w:val="clear" w:color="auto" w:fill="auto"/>
            <w:vAlign w:val="bottom"/>
          </w:tcPr>
          <w:p w:rsidR="000572BE" w:rsidRPr="00227C94" w:rsidRDefault="000572BE" w:rsidP="000572BE">
            <w:pPr>
              <w:pStyle w:val="tblNumber01"/>
              <w:rPr>
                <w:b/>
                <w:sz w:val="16"/>
              </w:rPr>
            </w:pPr>
            <w:r w:rsidRPr="00227C94">
              <w:rPr>
                <w:b/>
                <w:sz w:val="16"/>
              </w:rPr>
              <w:t>3,367,157</w:t>
            </w:r>
          </w:p>
        </w:tc>
        <w:tc>
          <w:tcPr>
            <w:tcW w:w="93" w:type="dxa"/>
            <w:shd w:val="clear" w:color="auto" w:fill="auto"/>
            <w:vAlign w:val="bottom"/>
          </w:tcPr>
          <w:p w:rsidR="000572BE" w:rsidRPr="00227C94" w:rsidRDefault="000572BE" w:rsidP="000572BE">
            <w:pPr>
              <w:pStyle w:val="tblNumber01"/>
              <w:rPr>
                <w:sz w:val="16"/>
              </w:rPr>
            </w:pPr>
          </w:p>
        </w:tc>
        <w:tc>
          <w:tcPr>
            <w:tcW w:w="987" w:type="dxa"/>
            <w:tcBorders>
              <w:bottom w:val="double" w:sz="6" w:space="0" w:color="auto"/>
            </w:tcBorders>
            <w:shd w:val="clear" w:color="auto" w:fill="auto"/>
            <w:vAlign w:val="bottom"/>
          </w:tcPr>
          <w:p w:rsidR="000572BE" w:rsidRPr="00227C94" w:rsidRDefault="000572BE" w:rsidP="000572BE">
            <w:pPr>
              <w:pStyle w:val="tblNumber01"/>
              <w:rPr>
                <w:b/>
                <w:sz w:val="16"/>
              </w:rPr>
            </w:pPr>
            <w:r w:rsidRPr="00227C94">
              <w:rPr>
                <w:b/>
                <w:sz w:val="16"/>
              </w:rPr>
              <w:t>289,518</w:t>
            </w:r>
          </w:p>
        </w:tc>
        <w:tc>
          <w:tcPr>
            <w:tcW w:w="93" w:type="dxa"/>
            <w:shd w:val="clear" w:color="auto" w:fill="auto"/>
            <w:vAlign w:val="bottom"/>
          </w:tcPr>
          <w:p w:rsidR="000572BE" w:rsidRPr="00227C94" w:rsidRDefault="000572BE" w:rsidP="000572BE">
            <w:pPr>
              <w:pStyle w:val="tblNumber01"/>
              <w:rPr>
                <w:sz w:val="16"/>
              </w:rPr>
            </w:pPr>
          </w:p>
        </w:tc>
        <w:tc>
          <w:tcPr>
            <w:tcW w:w="987" w:type="dxa"/>
            <w:tcBorders>
              <w:bottom w:val="double" w:sz="6" w:space="0" w:color="auto"/>
            </w:tcBorders>
            <w:shd w:val="clear" w:color="auto" w:fill="auto"/>
            <w:vAlign w:val="bottom"/>
          </w:tcPr>
          <w:p w:rsidR="000572BE" w:rsidRPr="00227C94" w:rsidRDefault="000572BE" w:rsidP="000572BE">
            <w:pPr>
              <w:pStyle w:val="tblNumber01"/>
              <w:rPr>
                <w:b/>
                <w:sz w:val="16"/>
              </w:rPr>
            </w:pPr>
            <w:r w:rsidRPr="00227C94">
              <w:rPr>
                <w:b/>
                <w:sz w:val="16"/>
              </w:rPr>
              <w:t>3,656,675</w:t>
            </w:r>
          </w:p>
        </w:tc>
      </w:tr>
    </w:tbl>
    <w:p w:rsidR="00916675" w:rsidRPr="00227C94" w:rsidRDefault="00916675" w:rsidP="000572BE">
      <w:pPr>
        <w:pStyle w:val="34"/>
        <w:rPr>
          <w:sz w:val="2"/>
        </w:rPr>
      </w:pPr>
    </w:p>
    <w:p w:rsidR="000572BE" w:rsidRPr="00227C94" w:rsidRDefault="000572BE" w:rsidP="000572BE">
      <w:pPr>
        <w:pStyle w:val="34"/>
        <w:rPr>
          <w:sz w:val="2"/>
        </w:rPr>
        <w:sectPr w:rsidR="000572BE" w:rsidRPr="00227C94" w:rsidSect="000572BE">
          <w:pgSz w:w="16838" w:h="11906" w:orient="landscape"/>
          <w:pgMar w:top="1417" w:right="1134" w:bottom="850" w:left="1134" w:header="709" w:footer="709" w:gutter="0"/>
          <w:cols w:space="708"/>
          <w:docGrid w:linePitch="360"/>
        </w:sectPr>
      </w:pPr>
    </w:p>
    <w:p w:rsidR="00916675" w:rsidRPr="00227C94" w:rsidRDefault="00916675" w:rsidP="000572BE">
      <w:pPr>
        <w:pStyle w:val="ZX1CompanyName12"/>
      </w:pPr>
      <w:r w:rsidRPr="00227C94">
        <w:lastRenderedPageBreak/>
        <w:t>POLYUS GOLD International Limited</w:t>
      </w:r>
    </w:p>
    <w:p w:rsidR="00916675" w:rsidRPr="00227C94" w:rsidRDefault="00916675" w:rsidP="000572BE">
      <w:pPr>
        <w:pStyle w:val="ZX1CompanyName12"/>
      </w:pPr>
    </w:p>
    <w:p w:rsidR="00916675" w:rsidRPr="00227C94" w:rsidRDefault="00916675" w:rsidP="000572BE">
      <w:pPr>
        <w:pStyle w:val="ZX2Subhead"/>
        <w:rPr>
          <w:lang w:val="en-US"/>
        </w:rPr>
      </w:pPr>
      <w:r w:rsidRPr="00227C94">
        <w:rPr>
          <w:lang w:val="en-US"/>
        </w:rPr>
        <w:t>condensed CONSOLIDATED interim STATEMENT of CASH FLOWs</w:t>
      </w:r>
    </w:p>
    <w:p w:rsidR="00916675" w:rsidRPr="00227C94" w:rsidRDefault="00916675" w:rsidP="000572BE">
      <w:pPr>
        <w:pStyle w:val="ZX2Subhead"/>
        <w:rPr>
          <w:lang w:val="en-US"/>
        </w:rPr>
      </w:pPr>
      <w:r w:rsidRPr="00227C94">
        <w:rPr>
          <w:lang w:val="en-US"/>
        </w:rPr>
        <w:t>FOR THE six months ENDED 30 june 2012</w:t>
      </w:r>
    </w:p>
    <w:p w:rsidR="00916675" w:rsidRPr="00227C94" w:rsidRDefault="00916675" w:rsidP="000572BE">
      <w:pPr>
        <w:pStyle w:val="ZX3Currency"/>
        <w:rPr>
          <w:lang w:val="en-US"/>
        </w:rPr>
      </w:pPr>
      <w:r w:rsidRPr="00227C94">
        <w:rPr>
          <w:lang w:val="en-US"/>
        </w:rPr>
        <w:t>(</w:t>
      </w:r>
      <w:proofErr w:type="gramStart"/>
      <w:r w:rsidRPr="00227C94">
        <w:rPr>
          <w:lang w:val="en-US"/>
        </w:rPr>
        <w:t>in</w:t>
      </w:r>
      <w:proofErr w:type="gramEnd"/>
      <w:r w:rsidRPr="00227C94">
        <w:rPr>
          <w:lang w:val="en-US"/>
        </w:rPr>
        <w:t xml:space="preserve"> thousands of US Dollars)</w:t>
      </w:r>
    </w:p>
    <w:p w:rsidR="00916675" w:rsidRPr="00227C94" w:rsidRDefault="00916675" w:rsidP="000572BE">
      <w:pPr>
        <w:pStyle w:val="a4"/>
        <w:rPr>
          <w:lang w:val="en-US"/>
        </w:rPr>
      </w:pPr>
    </w:p>
    <w:tbl>
      <w:tblPr>
        <w:tblW w:w="9412" w:type="dxa"/>
        <w:tblLayout w:type="fixed"/>
        <w:tblCellMar>
          <w:left w:w="0" w:type="dxa"/>
          <w:right w:w="0" w:type="dxa"/>
        </w:tblCellMar>
        <w:tblLook w:val="0000" w:firstRow="0" w:lastRow="0" w:firstColumn="0" w:lastColumn="0" w:noHBand="0" w:noVBand="0"/>
      </w:tblPr>
      <w:tblGrid>
        <w:gridCol w:w="3802"/>
        <w:gridCol w:w="793"/>
        <w:gridCol w:w="1417"/>
        <w:gridCol w:w="283"/>
        <w:gridCol w:w="1417"/>
        <w:gridCol w:w="283"/>
        <w:gridCol w:w="1417"/>
      </w:tblGrid>
      <w:tr w:rsidR="00916675" w:rsidRPr="00227C94" w:rsidTr="00A701F4">
        <w:trPr>
          <w:cantSplit/>
        </w:trPr>
        <w:tc>
          <w:tcPr>
            <w:tcW w:w="3802" w:type="dxa"/>
            <w:shd w:val="clear" w:color="auto" w:fill="auto"/>
            <w:vAlign w:val="bottom"/>
          </w:tcPr>
          <w:p w:rsidR="00916675" w:rsidRPr="00227C94" w:rsidRDefault="00916675" w:rsidP="000572BE">
            <w:pPr>
              <w:pStyle w:val="tblHeaderText"/>
              <w:jc w:val="left"/>
              <w:rPr>
                <w:lang w:val="en-US"/>
              </w:rPr>
            </w:pPr>
          </w:p>
        </w:tc>
        <w:tc>
          <w:tcPr>
            <w:tcW w:w="793" w:type="dxa"/>
            <w:shd w:val="clear" w:color="auto" w:fill="auto"/>
            <w:vAlign w:val="bottom"/>
          </w:tcPr>
          <w:p w:rsidR="00916675" w:rsidRPr="00227C94" w:rsidRDefault="00916675" w:rsidP="000572BE">
            <w:pPr>
              <w:pStyle w:val="tblHeaderText"/>
            </w:pPr>
            <w:r w:rsidRPr="00227C94">
              <w:t>Notes</w:t>
            </w:r>
          </w:p>
        </w:tc>
        <w:tc>
          <w:tcPr>
            <w:tcW w:w="1417" w:type="dxa"/>
            <w:tcBorders>
              <w:bottom w:val="single" w:sz="6" w:space="0" w:color="auto"/>
            </w:tcBorders>
            <w:shd w:val="clear" w:color="auto" w:fill="auto"/>
            <w:vAlign w:val="bottom"/>
          </w:tcPr>
          <w:p w:rsidR="0080532B" w:rsidRPr="00227C94" w:rsidRDefault="0080532B" w:rsidP="0080532B">
            <w:pPr>
              <w:pStyle w:val="tblHeaderText"/>
              <w:rPr>
                <w:lang w:val="en-US"/>
              </w:rPr>
            </w:pPr>
            <w:r w:rsidRPr="00227C94">
              <w:rPr>
                <w:lang w:val="en-US"/>
              </w:rPr>
              <w:t xml:space="preserve">Six months ended 30 </w:t>
            </w:r>
            <w:r w:rsidR="00916675" w:rsidRPr="00227C94">
              <w:rPr>
                <w:lang w:val="en-US"/>
              </w:rPr>
              <w:t xml:space="preserve">June </w:t>
            </w:r>
          </w:p>
          <w:p w:rsidR="00916675" w:rsidRPr="00227C94" w:rsidRDefault="00916675" w:rsidP="000572BE">
            <w:pPr>
              <w:pStyle w:val="tblHeaderText"/>
              <w:rPr>
                <w:lang w:val="en-US"/>
              </w:rPr>
            </w:pPr>
            <w:r w:rsidRPr="00227C94">
              <w:rPr>
                <w:lang w:val="en-US"/>
              </w:rPr>
              <w:t>2012</w:t>
            </w:r>
          </w:p>
          <w:p w:rsidR="00916675" w:rsidRPr="00227C94" w:rsidRDefault="00916675" w:rsidP="000572BE">
            <w:pPr>
              <w:pStyle w:val="tblHeaderText"/>
              <w:rPr>
                <w:lang w:val="en-US"/>
              </w:rPr>
            </w:pPr>
            <w:r w:rsidRPr="00227C94">
              <w:rPr>
                <w:lang w:val="en-US"/>
              </w:rPr>
              <w:t>(unaudited)</w:t>
            </w:r>
          </w:p>
        </w:tc>
        <w:tc>
          <w:tcPr>
            <w:tcW w:w="283" w:type="dxa"/>
            <w:shd w:val="clear" w:color="auto" w:fill="auto"/>
          </w:tcPr>
          <w:p w:rsidR="00916675" w:rsidRPr="00227C94" w:rsidRDefault="00916675" w:rsidP="000572BE">
            <w:pPr>
              <w:pStyle w:val="tblHeaderText"/>
              <w:rPr>
                <w:lang w:val="en-US"/>
              </w:rPr>
            </w:pPr>
          </w:p>
        </w:tc>
        <w:tc>
          <w:tcPr>
            <w:tcW w:w="1417" w:type="dxa"/>
            <w:tcBorders>
              <w:bottom w:val="single" w:sz="6" w:space="0" w:color="auto"/>
            </w:tcBorders>
            <w:shd w:val="clear" w:color="auto" w:fill="auto"/>
            <w:vAlign w:val="bottom"/>
          </w:tcPr>
          <w:p w:rsidR="00916675" w:rsidRPr="00227C94" w:rsidRDefault="0080532B" w:rsidP="0080532B">
            <w:pPr>
              <w:pStyle w:val="tblHeaderText"/>
              <w:rPr>
                <w:lang w:val="en-US"/>
              </w:rPr>
            </w:pPr>
            <w:r w:rsidRPr="00227C94">
              <w:rPr>
                <w:lang w:val="en-US"/>
              </w:rPr>
              <w:t xml:space="preserve">Six months ended 30 </w:t>
            </w:r>
            <w:r w:rsidR="00916675" w:rsidRPr="00227C94">
              <w:rPr>
                <w:lang w:val="en-US"/>
              </w:rPr>
              <w:t>June 2011</w:t>
            </w:r>
          </w:p>
          <w:p w:rsidR="00916675" w:rsidRPr="00227C94" w:rsidRDefault="00916675" w:rsidP="000572BE">
            <w:pPr>
              <w:pStyle w:val="tblHeaderText"/>
              <w:rPr>
                <w:lang w:val="en-US"/>
              </w:rPr>
            </w:pPr>
            <w:r w:rsidRPr="00227C94">
              <w:rPr>
                <w:lang w:val="en-US"/>
              </w:rPr>
              <w:t>(unaudited)</w:t>
            </w:r>
          </w:p>
        </w:tc>
        <w:tc>
          <w:tcPr>
            <w:tcW w:w="283" w:type="dxa"/>
            <w:shd w:val="clear" w:color="auto" w:fill="auto"/>
          </w:tcPr>
          <w:p w:rsidR="00916675" w:rsidRPr="00227C94" w:rsidRDefault="00916675" w:rsidP="000572BE">
            <w:pPr>
              <w:pStyle w:val="tblHeaderText"/>
              <w:rPr>
                <w:lang w:val="en-US"/>
              </w:rPr>
            </w:pPr>
          </w:p>
        </w:tc>
        <w:tc>
          <w:tcPr>
            <w:tcW w:w="1417" w:type="dxa"/>
            <w:tcBorders>
              <w:bottom w:val="single" w:sz="6" w:space="0" w:color="auto"/>
            </w:tcBorders>
            <w:shd w:val="clear" w:color="auto" w:fill="auto"/>
          </w:tcPr>
          <w:p w:rsidR="0080532B" w:rsidRPr="00227C94" w:rsidRDefault="00916675" w:rsidP="0080532B">
            <w:pPr>
              <w:pStyle w:val="tblHeaderText"/>
              <w:rPr>
                <w:lang w:val="en-US"/>
              </w:rPr>
            </w:pPr>
            <w:r w:rsidRPr="00227C94">
              <w:t xml:space="preserve">Year </w:t>
            </w:r>
            <w:r w:rsidR="0080532B" w:rsidRPr="00227C94">
              <w:t xml:space="preserve">ended </w:t>
            </w:r>
          </w:p>
          <w:p w:rsidR="00916675" w:rsidRPr="00227C94" w:rsidRDefault="0080532B" w:rsidP="0080532B">
            <w:pPr>
              <w:pStyle w:val="tblHeaderText"/>
              <w:rPr>
                <w:lang w:val="en-US"/>
              </w:rPr>
            </w:pPr>
            <w:r w:rsidRPr="00227C94">
              <w:t xml:space="preserve">31 </w:t>
            </w:r>
            <w:r w:rsidR="00916675" w:rsidRPr="00227C94">
              <w:t>December</w:t>
            </w:r>
          </w:p>
          <w:p w:rsidR="00916675" w:rsidRPr="00227C94" w:rsidRDefault="00916675" w:rsidP="000572BE">
            <w:pPr>
              <w:pStyle w:val="tblHeaderText"/>
            </w:pPr>
            <w:r w:rsidRPr="00227C94">
              <w:t>2011</w:t>
            </w:r>
          </w:p>
          <w:p w:rsidR="00916675" w:rsidRPr="00227C94" w:rsidRDefault="00916675" w:rsidP="000572BE">
            <w:pPr>
              <w:pStyle w:val="tblHeaderText"/>
            </w:pPr>
            <w:r w:rsidRPr="00227C94">
              <w:t>(audited)</w:t>
            </w:r>
          </w:p>
        </w:tc>
      </w:tr>
      <w:tr w:rsidR="00916675" w:rsidRPr="00227C94" w:rsidTr="000572BE">
        <w:trPr>
          <w:cantSplit/>
        </w:trPr>
        <w:tc>
          <w:tcPr>
            <w:tcW w:w="3802" w:type="dxa"/>
            <w:shd w:val="clear" w:color="auto" w:fill="auto"/>
            <w:vAlign w:val="bottom"/>
          </w:tcPr>
          <w:p w:rsidR="00916675" w:rsidRPr="00227C94" w:rsidRDefault="00916675" w:rsidP="000572BE">
            <w:pPr>
              <w:pStyle w:val="tblText02"/>
            </w:pPr>
          </w:p>
        </w:tc>
        <w:tc>
          <w:tcPr>
            <w:tcW w:w="793" w:type="dxa"/>
            <w:shd w:val="clear" w:color="auto" w:fill="auto"/>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shd w:val="clear" w:color="auto" w:fill="auto"/>
            <w:vAlign w:val="bottom"/>
          </w:tcPr>
          <w:p w:rsidR="00916675" w:rsidRPr="00227C94" w:rsidRDefault="00916675" w:rsidP="000572BE">
            <w:pPr>
              <w:pStyle w:val="tblText02"/>
              <w:rPr>
                <w:b/>
                <w:lang w:val="en-US"/>
              </w:rPr>
            </w:pPr>
            <w:r w:rsidRPr="00227C94">
              <w:rPr>
                <w:b/>
                <w:lang w:val="en-US"/>
              </w:rPr>
              <w:t>Net cash generated from operating activities</w:t>
            </w:r>
          </w:p>
        </w:tc>
        <w:tc>
          <w:tcPr>
            <w:tcW w:w="793" w:type="dxa"/>
            <w:shd w:val="clear" w:color="auto" w:fill="auto"/>
            <w:vAlign w:val="bottom"/>
          </w:tcPr>
          <w:p w:rsidR="00916675" w:rsidRPr="00227C94" w:rsidRDefault="00916675" w:rsidP="000572BE">
            <w:pPr>
              <w:pStyle w:val="tblNumber01"/>
              <w:jc w:val="center"/>
            </w:pPr>
            <w:r w:rsidRPr="00227C94">
              <w:t>17</w:t>
            </w:r>
          </w:p>
        </w:tc>
        <w:tc>
          <w:tcPr>
            <w:tcW w:w="1417" w:type="dxa"/>
            <w:shd w:val="clear" w:color="auto" w:fill="auto"/>
            <w:vAlign w:val="bottom"/>
          </w:tcPr>
          <w:p w:rsidR="00916675" w:rsidRPr="00227C94" w:rsidRDefault="00916675" w:rsidP="000572BE">
            <w:pPr>
              <w:pStyle w:val="tblNumber01"/>
              <w:rPr>
                <w:b/>
              </w:rPr>
            </w:pPr>
            <w:r w:rsidRPr="00227C94">
              <w:rPr>
                <w:b/>
              </w:rPr>
              <w:t>451,240</w:t>
            </w:r>
          </w:p>
        </w:tc>
        <w:tc>
          <w:tcPr>
            <w:tcW w:w="283" w:type="dxa"/>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1"/>
              <w:rPr>
                <w:b/>
              </w:rPr>
            </w:pPr>
            <w:r w:rsidRPr="00227C94">
              <w:rPr>
                <w:b/>
              </w:rPr>
              <w:t>290,874</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rPr>
                <w:b/>
              </w:rPr>
            </w:pPr>
            <w:r w:rsidRPr="00227C94">
              <w:rPr>
                <w:b/>
              </w:rPr>
              <w:t>765,405</w:t>
            </w:r>
          </w:p>
        </w:tc>
      </w:tr>
      <w:tr w:rsidR="00916675" w:rsidRPr="00227C94" w:rsidTr="000572BE">
        <w:trPr>
          <w:cantSplit/>
        </w:trPr>
        <w:tc>
          <w:tcPr>
            <w:tcW w:w="3802" w:type="dxa"/>
            <w:shd w:val="clear" w:color="auto" w:fill="auto"/>
            <w:vAlign w:val="bottom"/>
          </w:tcPr>
          <w:p w:rsidR="00916675" w:rsidRPr="00227C94" w:rsidRDefault="00916675" w:rsidP="000572BE">
            <w:pPr>
              <w:pStyle w:val="tblText02"/>
            </w:pPr>
          </w:p>
        </w:tc>
        <w:tc>
          <w:tcPr>
            <w:tcW w:w="793" w:type="dxa"/>
            <w:shd w:val="clear" w:color="auto" w:fill="auto"/>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0572BE">
        <w:trPr>
          <w:cantSplit/>
        </w:trPr>
        <w:tc>
          <w:tcPr>
            <w:tcW w:w="3802" w:type="dxa"/>
            <w:shd w:val="clear" w:color="auto" w:fill="auto"/>
            <w:vAlign w:val="bottom"/>
          </w:tcPr>
          <w:p w:rsidR="00916675" w:rsidRPr="00227C94" w:rsidRDefault="00916675" w:rsidP="000572BE">
            <w:pPr>
              <w:pStyle w:val="tblText02"/>
              <w:rPr>
                <w:b/>
              </w:rPr>
            </w:pPr>
            <w:r w:rsidRPr="00227C94">
              <w:rPr>
                <w:b/>
              </w:rPr>
              <w:t>Investing activities</w:t>
            </w:r>
          </w:p>
        </w:tc>
        <w:tc>
          <w:tcPr>
            <w:tcW w:w="793" w:type="dxa"/>
            <w:shd w:val="clear" w:color="auto" w:fill="auto"/>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0572BE">
        <w:trPr>
          <w:cantSplit/>
        </w:trPr>
        <w:tc>
          <w:tcPr>
            <w:tcW w:w="3802" w:type="dxa"/>
            <w:shd w:val="clear" w:color="auto" w:fill="auto"/>
            <w:vAlign w:val="bottom"/>
          </w:tcPr>
          <w:p w:rsidR="00916675" w:rsidRPr="00227C94" w:rsidRDefault="00916675" w:rsidP="000572BE">
            <w:pPr>
              <w:pStyle w:val="tblText02"/>
            </w:pPr>
          </w:p>
        </w:tc>
        <w:tc>
          <w:tcPr>
            <w:tcW w:w="793" w:type="dxa"/>
            <w:shd w:val="clear" w:color="auto" w:fill="auto"/>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0572BE">
        <w:trPr>
          <w:cantSplit/>
        </w:trPr>
        <w:tc>
          <w:tcPr>
            <w:tcW w:w="3802" w:type="dxa"/>
            <w:shd w:val="clear" w:color="auto" w:fill="auto"/>
          </w:tcPr>
          <w:p w:rsidR="00916675" w:rsidRPr="00227C94" w:rsidRDefault="00916675" w:rsidP="000572BE">
            <w:pPr>
              <w:pStyle w:val="tblText02"/>
              <w:rPr>
                <w:lang w:val="en-US"/>
              </w:rPr>
            </w:pPr>
            <w:r w:rsidRPr="00227C94">
              <w:rPr>
                <w:lang w:val="en-US"/>
              </w:rPr>
              <w:t>Purchases of property, plant and equipment</w:t>
            </w:r>
          </w:p>
        </w:tc>
        <w:tc>
          <w:tcPr>
            <w:tcW w:w="793" w:type="dxa"/>
            <w:shd w:val="clear" w:color="auto" w:fill="auto"/>
            <w:vAlign w:val="bottom"/>
          </w:tcPr>
          <w:p w:rsidR="00916675" w:rsidRPr="00227C94" w:rsidRDefault="00916675" w:rsidP="000572BE">
            <w:pPr>
              <w:pStyle w:val="tblNumber01"/>
              <w:rPr>
                <w:lang w:val="en-US"/>
              </w:rPr>
            </w:pPr>
          </w:p>
        </w:tc>
        <w:tc>
          <w:tcPr>
            <w:tcW w:w="1417" w:type="dxa"/>
            <w:shd w:val="clear" w:color="auto" w:fill="auto"/>
            <w:vAlign w:val="bottom"/>
          </w:tcPr>
          <w:p w:rsidR="00916675" w:rsidRPr="00227C94" w:rsidRDefault="00916675" w:rsidP="000572BE">
            <w:pPr>
              <w:pStyle w:val="tblNumber00"/>
            </w:pPr>
            <w:r w:rsidRPr="00227C94">
              <w:t>(293,671)</w:t>
            </w:r>
          </w:p>
        </w:tc>
        <w:tc>
          <w:tcPr>
            <w:tcW w:w="283" w:type="dxa"/>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0"/>
            </w:pPr>
            <w:r w:rsidRPr="00227C94">
              <w:t>(170,566)</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(343,037)</w:t>
            </w:r>
          </w:p>
        </w:tc>
      </w:tr>
      <w:tr w:rsidR="00916675" w:rsidRPr="00227C94" w:rsidTr="000572BE">
        <w:trPr>
          <w:cantSplit/>
        </w:trPr>
        <w:tc>
          <w:tcPr>
            <w:tcW w:w="3802" w:type="dxa"/>
            <w:shd w:val="clear" w:color="auto" w:fill="auto"/>
          </w:tcPr>
          <w:p w:rsidR="00916675" w:rsidRPr="00227C94" w:rsidRDefault="00916675" w:rsidP="000572BE">
            <w:pPr>
              <w:pStyle w:val="tblText02"/>
              <w:rPr>
                <w:lang w:val="en-US"/>
              </w:rPr>
            </w:pPr>
            <w:r w:rsidRPr="00227C94">
              <w:rPr>
                <w:lang w:val="en-US"/>
              </w:rPr>
              <w:t>Proceeds from subsidiaries’ disposal, net of cash disposed</w:t>
            </w:r>
          </w:p>
        </w:tc>
        <w:tc>
          <w:tcPr>
            <w:tcW w:w="793" w:type="dxa"/>
            <w:shd w:val="clear" w:color="auto" w:fill="auto"/>
            <w:vAlign w:val="bottom"/>
          </w:tcPr>
          <w:p w:rsidR="00916675" w:rsidRPr="00227C94" w:rsidRDefault="00916675" w:rsidP="000572BE">
            <w:pPr>
              <w:pStyle w:val="tblNumber01"/>
              <w:jc w:val="center"/>
            </w:pPr>
            <w:r w:rsidRPr="00227C94">
              <w:t>3</w:t>
            </w:r>
          </w:p>
        </w:tc>
        <w:tc>
          <w:tcPr>
            <w:tcW w:w="1417" w:type="dxa"/>
            <w:shd w:val="clear" w:color="auto" w:fill="auto"/>
            <w:vAlign w:val="bottom"/>
          </w:tcPr>
          <w:p w:rsidR="00916675" w:rsidRPr="00227C94" w:rsidRDefault="00916675" w:rsidP="000572BE">
            <w:pPr>
              <w:pStyle w:val="tblNumber01"/>
            </w:pPr>
            <w:r w:rsidRPr="00227C94">
              <w:t>20,973</w:t>
            </w:r>
          </w:p>
        </w:tc>
        <w:tc>
          <w:tcPr>
            <w:tcW w:w="283" w:type="dxa"/>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Dash"/>
            </w:pPr>
            <w:r w:rsidRPr="00227C94">
              <w:t>-</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Dash"/>
            </w:pPr>
            <w:r w:rsidRPr="00227C94">
              <w:t>-</w:t>
            </w:r>
          </w:p>
        </w:tc>
      </w:tr>
      <w:tr w:rsidR="00916675" w:rsidRPr="00227C94" w:rsidTr="000572BE">
        <w:trPr>
          <w:cantSplit/>
        </w:trPr>
        <w:tc>
          <w:tcPr>
            <w:tcW w:w="3802" w:type="dxa"/>
            <w:shd w:val="clear" w:color="auto" w:fill="auto"/>
          </w:tcPr>
          <w:p w:rsidR="00916675" w:rsidRPr="00227C94" w:rsidRDefault="00916675" w:rsidP="000572BE">
            <w:pPr>
              <w:pStyle w:val="tblText02"/>
            </w:pPr>
            <w:r w:rsidRPr="00227C94">
              <w:t>Payments for deferred stripping</w:t>
            </w:r>
          </w:p>
        </w:tc>
        <w:tc>
          <w:tcPr>
            <w:tcW w:w="793" w:type="dxa"/>
            <w:shd w:val="clear" w:color="auto" w:fill="auto"/>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0"/>
            </w:pPr>
            <w:r w:rsidRPr="00227C94">
              <w:t>(8,507)</w:t>
            </w:r>
          </w:p>
        </w:tc>
        <w:tc>
          <w:tcPr>
            <w:tcW w:w="283" w:type="dxa"/>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0"/>
            </w:pPr>
            <w:r w:rsidRPr="00227C94">
              <w:t>(9,934)</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(18,270)</w:t>
            </w:r>
          </w:p>
        </w:tc>
      </w:tr>
      <w:tr w:rsidR="00916675" w:rsidRPr="00227C94" w:rsidTr="000572BE">
        <w:trPr>
          <w:cantSplit/>
        </w:trPr>
        <w:tc>
          <w:tcPr>
            <w:tcW w:w="3802" w:type="dxa"/>
            <w:shd w:val="clear" w:color="auto" w:fill="auto"/>
          </w:tcPr>
          <w:p w:rsidR="00916675" w:rsidRPr="00227C94" w:rsidRDefault="00916675" w:rsidP="000572BE">
            <w:pPr>
              <w:pStyle w:val="tblText02"/>
              <w:rPr>
                <w:lang w:val="en-US"/>
              </w:rPr>
            </w:pPr>
            <w:r w:rsidRPr="00227C94">
              <w:rPr>
                <w:lang w:val="en-US"/>
              </w:rPr>
              <w:t>Proceeds on sales of property, plant and equipment</w:t>
            </w:r>
          </w:p>
        </w:tc>
        <w:tc>
          <w:tcPr>
            <w:tcW w:w="793" w:type="dxa"/>
            <w:shd w:val="clear" w:color="auto" w:fill="auto"/>
            <w:vAlign w:val="bottom"/>
          </w:tcPr>
          <w:p w:rsidR="00916675" w:rsidRPr="00227C94" w:rsidRDefault="00916675" w:rsidP="000572BE">
            <w:pPr>
              <w:pStyle w:val="tblNumber01"/>
              <w:rPr>
                <w:lang w:val="en-US"/>
              </w:rPr>
            </w:pPr>
          </w:p>
        </w:tc>
        <w:tc>
          <w:tcPr>
            <w:tcW w:w="1417" w:type="dxa"/>
            <w:shd w:val="clear" w:color="auto" w:fill="auto"/>
            <w:vAlign w:val="bottom"/>
          </w:tcPr>
          <w:p w:rsidR="00916675" w:rsidRPr="00227C94" w:rsidRDefault="00916675" w:rsidP="000572BE">
            <w:pPr>
              <w:pStyle w:val="tblNumber01"/>
            </w:pPr>
            <w:r w:rsidRPr="00227C94">
              <w:t>2,268</w:t>
            </w:r>
          </w:p>
        </w:tc>
        <w:tc>
          <w:tcPr>
            <w:tcW w:w="283" w:type="dxa"/>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1"/>
            </w:pPr>
            <w:r w:rsidRPr="00227C94">
              <w:t>227</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1,911</w:t>
            </w:r>
          </w:p>
        </w:tc>
      </w:tr>
      <w:tr w:rsidR="00916675" w:rsidRPr="00227C94" w:rsidTr="000572BE">
        <w:trPr>
          <w:cantSplit/>
        </w:trPr>
        <w:tc>
          <w:tcPr>
            <w:tcW w:w="3802" w:type="dxa"/>
            <w:shd w:val="clear" w:color="auto" w:fill="auto"/>
            <w:vAlign w:val="bottom"/>
          </w:tcPr>
          <w:p w:rsidR="00916675" w:rsidRPr="00227C94" w:rsidRDefault="00916675" w:rsidP="000572BE">
            <w:pPr>
              <w:pStyle w:val="tblText02"/>
            </w:pPr>
            <w:r w:rsidRPr="00227C94">
              <w:t>Interest received</w:t>
            </w:r>
          </w:p>
        </w:tc>
        <w:tc>
          <w:tcPr>
            <w:tcW w:w="793" w:type="dxa"/>
            <w:shd w:val="clear" w:color="auto" w:fill="auto"/>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1"/>
            </w:pPr>
            <w:r w:rsidRPr="00227C94">
              <w:t>15,423</w:t>
            </w:r>
          </w:p>
        </w:tc>
        <w:tc>
          <w:tcPr>
            <w:tcW w:w="283" w:type="dxa"/>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1"/>
            </w:pPr>
            <w:r w:rsidRPr="00227C94">
              <w:t>5,815</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15,359</w:t>
            </w:r>
          </w:p>
        </w:tc>
      </w:tr>
      <w:tr w:rsidR="00916675" w:rsidRPr="00227C94" w:rsidTr="00A701F4">
        <w:trPr>
          <w:cantSplit/>
        </w:trPr>
        <w:tc>
          <w:tcPr>
            <w:tcW w:w="3802" w:type="dxa"/>
            <w:shd w:val="clear" w:color="auto" w:fill="auto"/>
          </w:tcPr>
          <w:p w:rsidR="00916675" w:rsidRPr="00227C94" w:rsidRDefault="00916675" w:rsidP="000572BE">
            <w:pPr>
              <w:pStyle w:val="tblText02"/>
              <w:rPr>
                <w:lang w:val="en-US"/>
              </w:rPr>
            </w:pPr>
            <w:r w:rsidRPr="00227C94">
              <w:rPr>
                <w:lang w:val="en-US"/>
              </w:rPr>
              <w:t>Purchases of investments in securities and placement of deposits in banks</w:t>
            </w:r>
          </w:p>
        </w:tc>
        <w:tc>
          <w:tcPr>
            <w:tcW w:w="793" w:type="dxa"/>
            <w:shd w:val="clear" w:color="auto" w:fill="auto"/>
            <w:vAlign w:val="bottom"/>
          </w:tcPr>
          <w:p w:rsidR="00916675" w:rsidRPr="00227C94" w:rsidRDefault="00916675" w:rsidP="000572BE">
            <w:pPr>
              <w:pStyle w:val="tblNumber01"/>
              <w:rPr>
                <w:lang w:val="en-US"/>
              </w:rPr>
            </w:pPr>
          </w:p>
        </w:tc>
        <w:tc>
          <w:tcPr>
            <w:tcW w:w="1417" w:type="dxa"/>
            <w:shd w:val="clear" w:color="auto" w:fill="auto"/>
            <w:vAlign w:val="bottom"/>
          </w:tcPr>
          <w:p w:rsidR="00916675" w:rsidRPr="00227C94" w:rsidRDefault="00916675" w:rsidP="000572BE">
            <w:pPr>
              <w:pStyle w:val="tblNumber00"/>
            </w:pPr>
            <w:r w:rsidRPr="00227C94">
              <w:t>(14,252)</w:t>
            </w:r>
          </w:p>
        </w:tc>
        <w:tc>
          <w:tcPr>
            <w:tcW w:w="283" w:type="dxa"/>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0"/>
            </w:pPr>
            <w:r w:rsidRPr="00227C94">
              <w:t>(137,564)</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(37,596)</w:t>
            </w:r>
          </w:p>
        </w:tc>
      </w:tr>
      <w:tr w:rsidR="00916675" w:rsidRPr="00227C94" w:rsidTr="00A701F4">
        <w:trPr>
          <w:cantSplit/>
        </w:trPr>
        <w:tc>
          <w:tcPr>
            <w:tcW w:w="3802" w:type="dxa"/>
            <w:shd w:val="clear" w:color="auto" w:fill="auto"/>
          </w:tcPr>
          <w:p w:rsidR="00916675" w:rsidRPr="00227C94" w:rsidRDefault="00916675" w:rsidP="000572BE">
            <w:pPr>
              <w:pStyle w:val="tblText02"/>
              <w:rPr>
                <w:lang w:val="en-US"/>
              </w:rPr>
            </w:pPr>
            <w:r w:rsidRPr="00227C94">
              <w:rPr>
                <w:lang w:val="en-US"/>
              </w:rPr>
              <w:t>Proceeds on sales of investments in securities and redemption of bank deposits</w:t>
            </w:r>
          </w:p>
        </w:tc>
        <w:tc>
          <w:tcPr>
            <w:tcW w:w="793" w:type="dxa"/>
            <w:shd w:val="clear" w:color="auto" w:fill="auto"/>
            <w:vAlign w:val="bottom"/>
          </w:tcPr>
          <w:p w:rsidR="00916675" w:rsidRPr="00227C94" w:rsidRDefault="00916675" w:rsidP="000572BE">
            <w:pPr>
              <w:pStyle w:val="tblNumber01"/>
              <w:rPr>
                <w:lang w:val="en-US"/>
              </w:rPr>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14,845</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103,293</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121,270</w:t>
            </w:r>
          </w:p>
        </w:tc>
      </w:tr>
      <w:tr w:rsidR="00916675" w:rsidRPr="00227C94" w:rsidTr="00A701F4">
        <w:trPr>
          <w:cantSplit/>
        </w:trPr>
        <w:tc>
          <w:tcPr>
            <w:tcW w:w="3802" w:type="dxa"/>
            <w:shd w:val="clear" w:color="auto" w:fill="auto"/>
            <w:vAlign w:val="bottom"/>
          </w:tcPr>
          <w:p w:rsidR="00916675" w:rsidRPr="00227C94" w:rsidRDefault="00916675" w:rsidP="000572BE">
            <w:pPr>
              <w:pStyle w:val="tblText02"/>
            </w:pPr>
          </w:p>
        </w:tc>
        <w:tc>
          <w:tcPr>
            <w:tcW w:w="793" w:type="dxa"/>
            <w:shd w:val="clear" w:color="auto" w:fill="auto"/>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A701F4">
        <w:trPr>
          <w:cantSplit/>
        </w:trPr>
        <w:tc>
          <w:tcPr>
            <w:tcW w:w="3802" w:type="dxa"/>
            <w:shd w:val="clear" w:color="auto" w:fill="auto"/>
            <w:vAlign w:val="bottom"/>
          </w:tcPr>
          <w:p w:rsidR="00916675" w:rsidRPr="00227C94" w:rsidRDefault="00916675" w:rsidP="000572BE">
            <w:pPr>
              <w:pStyle w:val="tblText02"/>
              <w:rPr>
                <w:b/>
                <w:lang w:val="en-US"/>
              </w:rPr>
            </w:pPr>
            <w:r w:rsidRPr="00227C94">
              <w:rPr>
                <w:b/>
                <w:lang w:val="en-US"/>
              </w:rPr>
              <w:t>Net cash utilised in investing activities</w:t>
            </w:r>
          </w:p>
        </w:tc>
        <w:tc>
          <w:tcPr>
            <w:tcW w:w="793" w:type="dxa"/>
            <w:shd w:val="clear" w:color="auto" w:fill="auto"/>
            <w:vAlign w:val="bottom"/>
          </w:tcPr>
          <w:p w:rsidR="00916675" w:rsidRPr="00227C94" w:rsidRDefault="00916675" w:rsidP="000572BE">
            <w:pPr>
              <w:pStyle w:val="tblNumber01"/>
              <w:rPr>
                <w:lang w:val="en-US"/>
              </w:rPr>
            </w:pPr>
          </w:p>
        </w:tc>
        <w:tc>
          <w:tcPr>
            <w:tcW w:w="1417" w:type="dxa"/>
            <w:tcBorders>
              <w:bottom w:val="single" w:sz="6" w:space="0" w:color="auto"/>
            </w:tcBorders>
            <w:shd w:val="clear" w:color="auto" w:fill="auto"/>
            <w:vAlign w:val="bottom"/>
          </w:tcPr>
          <w:p w:rsidR="00916675" w:rsidRPr="00227C94" w:rsidRDefault="00916675" w:rsidP="000572BE">
            <w:pPr>
              <w:pStyle w:val="tblNumber00"/>
              <w:rPr>
                <w:b/>
              </w:rPr>
            </w:pPr>
            <w:r w:rsidRPr="00227C94">
              <w:rPr>
                <w:b/>
              </w:rPr>
              <w:t>(262,921)</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rPr>
                <w:b/>
              </w:rPr>
            </w:pPr>
            <w:r w:rsidRPr="00227C94">
              <w:rPr>
                <w:b/>
              </w:rPr>
              <w:t>(208,729)</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rPr>
                <w:b/>
              </w:rPr>
            </w:pPr>
            <w:r w:rsidRPr="00227C94">
              <w:rPr>
                <w:b/>
              </w:rPr>
              <w:t>(260,363)</w:t>
            </w:r>
          </w:p>
        </w:tc>
      </w:tr>
      <w:tr w:rsidR="00916675" w:rsidRPr="00227C94" w:rsidTr="000572BE">
        <w:trPr>
          <w:cantSplit/>
        </w:trPr>
        <w:tc>
          <w:tcPr>
            <w:tcW w:w="3802" w:type="dxa"/>
            <w:shd w:val="clear" w:color="auto" w:fill="auto"/>
            <w:vAlign w:val="bottom"/>
          </w:tcPr>
          <w:p w:rsidR="00916675" w:rsidRPr="00227C94" w:rsidRDefault="00916675" w:rsidP="000572BE">
            <w:pPr>
              <w:pStyle w:val="tblText02"/>
            </w:pPr>
          </w:p>
        </w:tc>
        <w:tc>
          <w:tcPr>
            <w:tcW w:w="793" w:type="dxa"/>
            <w:shd w:val="clear" w:color="auto" w:fill="auto"/>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vAlign w:val="bottom"/>
          </w:tcPr>
          <w:p w:rsidR="00916675" w:rsidRPr="00227C94" w:rsidRDefault="00916675" w:rsidP="000572BE">
            <w:pPr>
              <w:pStyle w:val="tblText02"/>
              <w:rPr>
                <w:b/>
              </w:rPr>
            </w:pPr>
            <w:r w:rsidRPr="00227C94">
              <w:rPr>
                <w:b/>
              </w:rPr>
              <w:t>Financing activities</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0572BE">
        <w:trPr>
          <w:cantSplit/>
        </w:trPr>
        <w:tc>
          <w:tcPr>
            <w:tcW w:w="3802" w:type="dxa"/>
            <w:vAlign w:val="bottom"/>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0572BE">
        <w:trPr>
          <w:cantSplit/>
        </w:trPr>
        <w:tc>
          <w:tcPr>
            <w:tcW w:w="3802" w:type="dxa"/>
          </w:tcPr>
          <w:p w:rsidR="00916675" w:rsidRPr="00227C94" w:rsidRDefault="00916675" w:rsidP="000572BE">
            <w:pPr>
              <w:pStyle w:val="tblText02"/>
            </w:pPr>
            <w:r w:rsidRPr="00227C94">
              <w:t>Acquisition of subsidiary’s shares</w:t>
            </w: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Dash"/>
            </w:pPr>
            <w:r w:rsidRPr="00227C94">
              <w:t>-</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Dash"/>
            </w:pPr>
            <w:r w:rsidRPr="00227C94">
              <w:t>-</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(588,816)</w:t>
            </w:r>
          </w:p>
        </w:tc>
      </w:tr>
      <w:tr w:rsidR="00916675" w:rsidRPr="00227C94" w:rsidTr="000572BE">
        <w:trPr>
          <w:cantSplit/>
        </w:trPr>
        <w:tc>
          <w:tcPr>
            <w:tcW w:w="3802" w:type="dxa"/>
          </w:tcPr>
          <w:p w:rsidR="00916675" w:rsidRPr="00227C94" w:rsidRDefault="00916675" w:rsidP="000572BE">
            <w:pPr>
              <w:pStyle w:val="tblText02"/>
            </w:pPr>
            <w:r w:rsidRPr="00227C94">
              <w:t>Proceeds from borrowings</w:t>
            </w:r>
          </w:p>
        </w:tc>
        <w:tc>
          <w:tcPr>
            <w:tcW w:w="793" w:type="dxa"/>
            <w:vAlign w:val="bottom"/>
          </w:tcPr>
          <w:p w:rsidR="00916675" w:rsidRPr="00227C94" w:rsidRDefault="00916675" w:rsidP="000572BE">
            <w:pPr>
              <w:pStyle w:val="tblNumber01"/>
              <w:jc w:val="center"/>
            </w:pPr>
            <w:r w:rsidRPr="00227C94">
              <w:t>16</w:t>
            </w:r>
          </w:p>
        </w:tc>
        <w:tc>
          <w:tcPr>
            <w:tcW w:w="1417" w:type="dxa"/>
            <w:vAlign w:val="bottom"/>
          </w:tcPr>
          <w:p w:rsidR="00916675" w:rsidRPr="00227C94" w:rsidRDefault="00916675" w:rsidP="000572BE">
            <w:pPr>
              <w:pStyle w:val="tblNumber01"/>
            </w:pPr>
            <w:r w:rsidRPr="00227C94">
              <w:t>198,212</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Dash"/>
            </w:pPr>
            <w:r w:rsidRPr="00227C94">
              <w:t>-</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r w:rsidRPr="00227C94">
              <w:t>560,000</w:t>
            </w:r>
          </w:p>
        </w:tc>
      </w:tr>
      <w:tr w:rsidR="00916675" w:rsidRPr="00227C94" w:rsidTr="000572BE">
        <w:trPr>
          <w:cantSplit/>
        </w:trPr>
        <w:tc>
          <w:tcPr>
            <w:tcW w:w="3802" w:type="dxa"/>
          </w:tcPr>
          <w:p w:rsidR="00916675" w:rsidRPr="00227C94" w:rsidRDefault="00916675" w:rsidP="000572BE">
            <w:pPr>
              <w:pStyle w:val="tblText02"/>
            </w:pPr>
            <w:r w:rsidRPr="00227C94">
              <w:t>Repayment of borrowings</w:t>
            </w:r>
          </w:p>
        </w:tc>
        <w:tc>
          <w:tcPr>
            <w:tcW w:w="793" w:type="dxa"/>
            <w:vAlign w:val="bottom"/>
          </w:tcPr>
          <w:p w:rsidR="00916675" w:rsidRPr="00227C94" w:rsidRDefault="00916675" w:rsidP="000572BE">
            <w:pPr>
              <w:pStyle w:val="tblNumber01"/>
              <w:jc w:val="center"/>
            </w:pPr>
            <w:r w:rsidRPr="00227C94">
              <w:t>16</w:t>
            </w:r>
          </w:p>
        </w:tc>
        <w:tc>
          <w:tcPr>
            <w:tcW w:w="1417" w:type="dxa"/>
            <w:vAlign w:val="bottom"/>
          </w:tcPr>
          <w:p w:rsidR="00916675" w:rsidRPr="00227C94" w:rsidRDefault="00916675" w:rsidP="000572BE">
            <w:pPr>
              <w:pStyle w:val="tblNumber00"/>
            </w:pPr>
            <w:r w:rsidRPr="00227C94">
              <w:t>(664,688)</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Dash"/>
            </w:pPr>
            <w:r w:rsidRPr="00227C94">
              <w:t>-</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Dash"/>
            </w:pPr>
            <w:r w:rsidRPr="00227C94">
              <w:t>-</w:t>
            </w:r>
          </w:p>
        </w:tc>
      </w:tr>
      <w:tr w:rsidR="00916675" w:rsidRPr="00227C94" w:rsidTr="000572BE">
        <w:trPr>
          <w:cantSplit/>
        </w:trPr>
        <w:tc>
          <w:tcPr>
            <w:tcW w:w="3802" w:type="dxa"/>
            <w:vAlign w:val="bottom"/>
          </w:tcPr>
          <w:p w:rsidR="00916675" w:rsidRPr="00227C94" w:rsidRDefault="00916675" w:rsidP="000572BE">
            <w:pPr>
              <w:pStyle w:val="tblText02"/>
              <w:rPr>
                <w:lang w:val="en-US"/>
              </w:rPr>
            </w:pPr>
            <w:r w:rsidRPr="00227C94">
              <w:rPr>
                <w:lang w:val="en-US"/>
              </w:rPr>
              <w:t>Proceeds from sale of treasury shares</w:t>
            </w:r>
          </w:p>
        </w:tc>
        <w:tc>
          <w:tcPr>
            <w:tcW w:w="793" w:type="dxa"/>
            <w:vAlign w:val="bottom"/>
          </w:tcPr>
          <w:p w:rsidR="00916675" w:rsidRPr="00227C94" w:rsidRDefault="00916675" w:rsidP="000572BE">
            <w:pPr>
              <w:pStyle w:val="tblNumber01"/>
              <w:jc w:val="center"/>
            </w:pPr>
            <w:r w:rsidRPr="00227C94">
              <w:t>15</w:t>
            </w:r>
          </w:p>
        </w:tc>
        <w:tc>
          <w:tcPr>
            <w:tcW w:w="1417" w:type="dxa"/>
            <w:vAlign w:val="bottom"/>
          </w:tcPr>
          <w:p w:rsidR="00916675" w:rsidRPr="00227C94" w:rsidRDefault="00916675" w:rsidP="000572BE">
            <w:pPr>
              <w:pStyle w:val="tblNumber01"/>
            </w:pPr>
            <w:r w:rsidRPr="00227C94">
              <w:t>624,372</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Dash"/>
            </w:pPr>
            <w:r w:rsidRPr="00227C94">
              <w:t>-</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Dash"/>
            </w:pPr>
            <w:r w:rsidRPr="00227C94">
              <w:t>-</w:t>
            </w:r>
          </w:p>
        </w:tc>
      </w:tr>
      <w:tr w:rsidR="00916675" w:rsidRPr="00227C94" w:rsidTr="000572BE">
        <w:trPr>
          <w:cantSplit/>
        </w:trPr>
        <w:tc>
          <w:tcPr>
            <w:tcW w:w="3802" w:type="dxa"/>
            <w:vAlign w:val="bottom"/>
          </w:tcPr>
          <w:p w:rsidR="00916675" w:rsidRPr="00227C94" w:rsidRDefault="00916675" w:rsidP="000572BE">
            <w:pPr>
              <w:pStyle w:val="tblText02"/>
              <w:rPr>
                <w:lang w:val="en-US"/>
              </w:rPr>
            </w:pPr>
            <w:r w:rsidRPr="00227C94">
              <w:rPr>
                <w:lang w:val="en-US"/>
              </w:rPr>
              <w:t>Dividends paid to shareholders of the Company</w:t>
            </w:r>
          </w:p>
        </w:tc>
        <w:tc>
          <w:tcPr>
            <w:tcW w:w="793" w:type="dxa"/>
            <w:vAlign w:val="bottom"/>
          </w:tcPr>
          <w:p w:rsidR="00916675" w:rsidRPr="00227C94" w:rsidRDefault="00916675" w:rsidP="000572BE">
            <w:pPr>
              <w:pStyle w:val="tblNumber01"/>
              <w:jc w:val="center"/>
            </w:pPr>
            <w:r w:rsidRPr="00227C94">
              <w:t>15</w:t>
            </w:r>
          </w:p>
        </w:tc>
        <w:tc>
          <w:tcPr>
            <w:tcW w:w="1417" w:type="dxa"/>
            <w:vAlign w:val="bottom"/>
          </w:tcPr>
          <w:p w:rsidR="00916675" w:rsidRPr="00227C94" w:rsidRDefault="00916675" w:rsidP="000572BE">
            <w:pPr>
              <w:pStyle w:val="tblNumber00"/>
            </w:pPr>
            <w:r w:rsidRPr="00227C94">
              <w:t>(124,318)</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Dash"/>
            </w:pPr>
            <w:r w:rsidRPr="00227C94">
              <w:t>-</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(73,191)</w:t>
            </w:r>
          </w:p>
        </w:tc>
      </w:tr>
      <w:tr w:rsidR="00916675" w:rsidRPr="00227C94" w:rsidTr="00A701F4">
        <w:trPr>
          <w:cantSplit/>
        </w:trPr>
        <w:tc>
          <w:tcPr>
            <w:tcW w:w="3802" w:type="dxa"/>
            <w:vAlign w:val="bottom"/>
          </w:tcPr>
          <w:p w:rsidR="00916675" w:rsidRPr="00227C94" w:rsidRDefault="00916675" w:rsidP="000572BE">
            <w:pPr>
              <w:pStyle w:val="tblText02"/>
              <w:rPr>
                <w:lang w:val="en-US"/>
              </w:rPr>
            </w:pPr>
            <w:r w:rsidRPr="00227C94">
              <w:rPr>
                <w:lang w:val="en-US"/>
              </w:rPr>
              <w:t>Dividends paid to shareholders of non-controlling interests</w:t>
            </w:r>
          </w:p>
        </w:tc>
        <w:tc>
          <w:tcPr>
            <w:tcW w:w="793" w:type="dxa"/>
            <w:vAlign w:val="bottom"/>
          </w:tcPr>
          <w:p w:rsidR="00916675" w:rsidRPr="00227C94" w:rsidRDefault="00916675" w:rsidP="000572BE">
            <w:pPr>
              <w:pStyle w:val="tblNumber01"/>
              <w:rPr>
                <w:lang w:val="en-US"/>
              </w:rPr>
            </w:pPr>
          </w:p>
        </w:tc>
        <w:tc>
          <w:tcPr>
            <w:tcW w:w="1417" w:type="dxa"/>
            <w:vAlign w:val="bottom"/>
          </w:tcPr>
          <w:p w:rsidR="00916675" w:rsidRPr="00227C94" w:rsidRDefault="00916675" w:rsidP="000572BE">
            <w:pPr>
              <w:pStyle w:val="tblNumber00"/>
            </w:pPr>
            <w:r w:rsidRPr="00227C94">
              <w:t>(21,274)</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(3,738)</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0"/>
            </w:pPr>
            <w:r w:rsidRPr="00227C94">
              <w:t>(26,225)</w:t>
            </w:r>
          </w:p>
        </w:tc>
      </w:tr>
      <w:tr w:rsidR="00916675" w:rsidRPr="00227C94" w:rsidTr="00A701F4">
        <w:trPr>
          <w:cantSplit/>
        </w:trPr>
        <w:tc>
          <w:tcPr>
            <w:tcW w:w="3802" w:type="dxa"/>
            <w:vAlign w:val="bottom"/>
          </w:tcPr>
          <w:p w:rsidR="00916675" w:rsidRPr="00227C94" w:rsidRDefault="00916675" w:rsidP="000572BE">
            <w:pPr>
              <w:pStyle w:val="tblText02"/>
            </w:pPr>
            <w:r w:rsidRPr="00227C94">
              <w:t>Other</w:t>
            </w:r>
          </w:p>
        </w:tc>
        <w:tc>
          <w:tcPr>
            <w:tcW w:w="79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Dash"/>
            </w:pPr>
            <w:r w:rsidRPr="00227C94">
              <w:t>-</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(5,359)</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(6,726)</w:t>
            </w:r>
          </w:p>
        </w:tc>
      </w:tr>
      <w:tr w:rsidR="00916675" w:rsidRPr="00227C94" w:rsidTr="00A701F4">
        <w:trPr>
          <w:cantSplit/>
        </w:trPr>
        <w:tc>
          <w:tcPr>
            <w:tcW w:w="3802" w:type="dxa"/>
            <w:vAlign w:val="bottom"/>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A701F4">
        <w:trPr>
          <w:cantSplit/>
        </w:trPr>
        <w:tc>
          <w:tcPr>
            <w:tcW w:w="3802" w:type="dxa"/>
            <w:vAlign w:val="bottom"/>
          </w:tcPr>
          <w:p w:rsidR="00916675" w:rsidRPr="00227C94" w:rsidRDefault="00916675" w:rsidP="000572BE">
            <w:pPr>
              <w:pStyle w:val="tblText02"/>
              <w:rPr>
                <w:b/>
                <w:lang w:val="en-US"/>
              </w:rPr>
            </w:pPr>
            <w:r w:rsidRPr="00227C94">
              <w:rPr>
                <w:b/>
                <w:lang w:val="en-US"/>
              </w:rPr>
              <w:t>Net cash utilised in financing activities</w:t>
            </w:r>
          </w:p>
        </w:tc>
        <w:tc>
          <w:tcPr>
            <w:tcW w:w="793" w:type="dxa"/>
            <w:vAlign w:val="bottom"/>
          </w:tcPr>
          <w:p w:rsidR="00916675" w:rsidRPr="00227C94" w:rsidRDefault="00916675" w:rsidP="000572BE">
            <w:pPr>
              <w:pStyle w:val="tblNumber01"/>
              <w:rPr>
                <w:lang w:val="en-US"/>
              </w:rPr>
            </w:pPr>
          </w:p>
        </w:tc>
        <w:tc>
          <w:tcPr>
            <w:tcW w:w="1417" w:type="dxa"/>
            <w:tcBorders>
              <w:bottom w:val="single" w:sz="6" w:space="0" w:color="auto"/>
            </w:tcBorders>
            <w:shd w:val="clear" w:color="auto" w:fill="auto"/>
            <w:vAlign w:val="bottom"/>
          </w:tcPr>
          <w:p w:rsidR="00916675" w:rsidRPr="00227C94" w:rsidRDefault="00916675" w:rsidP="000572BE">
            <w:pPr>
              <w:pStyle w:val="tblNumber01"/>
              <w:rPr>
                <w:b/>
              </w:rPr>
            </w:pPr>
            <w:r w:rsidRPr="00227C94">
              <w:rPr>
                <w:b/>
              </w:rPr>
              <w:t>12,304</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rPr>
                <w:b/>
              </w:rPr>
            </w:pPr>
            <w:r w:rsidRPr="00227C94">
              <w:rPr>
                <w:b/>
              </w:rPr>
              <w:t>(9,097)</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rPr>
                <w:b/>
              </w:rPr>
            </w:pPr>
            <w:r w:rsidRPr="00227C94">
              <w:rPr>
                <w:b/>
              </w:rPr>
              <w:t>(134,958)</w:t>
            </w:r>
          </w:p>
        </w:tc>
      </w:tr>
      <w:tr w:rsidR="00916675" w:rsidRPr="00227C94" w:rsidTr="000572BE">
        <w:trPr>
          <w:cantSplit/>
        </w:trPr>
        <w:tc>
          <w:tcPr>
            <w:tcW w:w="3802" w:type="dxa"/>
            <w:vAlign w:val="bottom"/>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vAlign w:val="bottom"/>
          </w:tcPr>
          <w:p w:rsidR="00916675" w:rsidRPr="00227C94" w:rsidRDefault="00916675" w:rsidP="000572BE">
            <w:pPr>
              <w:pStyle w:val="tblText02"/>
              <w:rPr>
                <w:b/>
                <w:lang w:val="en-US"/>
              </w:rPr>
            </w:pPr>
            <w:r w:rsidRPr="00227C94">
              <w:rPr>
                <w:b/>
                <w:lang w:val="en-US"/>
              </w:rPr>
              <w:t>Net increase in cash and cash equivalents</w:t>
            </w:r>
          </w:p>
        </w:tc>
        <w:tc>
          <w:tcPr>
            <w:tcW w:w="793" w:type="dxa"/>
            <w:vAlign w:val="bottom"/>
          </w:tcPr>
          <w:p w:rsidR="00916675" w:rsidRPr="00227C94" w:rsidRDefault="00916675" w:rsidP="000572BE">
            <w:pPr>
              <w:pStyle w:val="tblNumber01"/>
              <w:rPr>
                <w:lang w:val="en-US"/>
              </w:rPr>
            </w:pPr>
          </w:p>
        </w:tc>
        <w:tc>
          <w:tcPr>
            <w:tcW w:w="1417" w:type="dxa"/>
            <w:shd w:val="clear" w:color="auto" w:fill="auto"/>
            <w:vAlign w:val="bottom"/>
          </w:tcPr>
          <w:p w:rsidR="00916675" w:rsidRPr="00227C94" w:rsidRDefault="00916675" w:rsidP="000572BE">
            <w:pPr>
              <w:pStyle w:val="tblNumber01"/>
              <w:rPr>
                <w:b/>
              </w:rPr>
            </w:pPr>
            <w:r w:rsidRPr="00227C94">
              <w:rPr>
                <w:b/>
              </w:rPr>
              <w:t>200,623</w:t>
            </w:r>
          </w:p>
        </w:tc>
        <w:tc>
          <w:tcPr>
            <w:tcW w:w="283" w:type="dxa"/>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1"/>
              <w:rPr>
                <w:b/>
              </w:rPr>
            </w:pPr>
            <w:r w:rsidRPr="00227C94">
              <w:rPr>
                <w:b/>
              </w:rPr>
              <w:t>73,048</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rPr>
                <w:b/>
              </w:rPr>
            </w:pPr>
            <w:r w:rsidRPr="00227C94">
              <w:rPr>
                <w:b/>
              </w:rPr>
              <w:t>370,084</w:t>
            </w:r>
          </w:p>
        </w:tc>
      </w:tr>
      <w:tr w:rsidR="00916675" w:rsidRPr="00227C94" w:rsidTr="000572BE">
        <w:trPr>
          <w:cantSplit/>
        </w:trPr>
        <w:tc>
          <w:tcPr>
            <w:tcW w:w="3802" w:type="dxa"/>
            <w:vAlign w:val="bottom"/>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0572BE">
        <w:trPr>
          <w:cantSplit/>
        </w:trPr>
        <w:tc>
          <w:tcPr>
            <w:tcW w:w="3802" w:type="dxa"/>
            <w:vAlign w:val="bottom"/>
          </w:tcPr>
          <w:p w:rsidR="00916675" w:rsidRPr="00227C94" w:rsidRDefault="00916675" w:rsidP="000572BE">
            <w:pPr>
              <w:pStyle w:val="tblText02"/>
              <w:rPr>
                <w:b/>
                <w:lang w:val="en-US"/>
              </w:rPr>
            </w:pPr>
            <w:r w:rsidRPr="00227C94">
              <w:rPr>
                <w:b/>
                <w:lang w:val="en-US"/>
              </w:rPr>
              <w:t>Cash and cash equivalents at beginning of the period</w:t>
            </w:r>
          </w:p>
        </w:tc>
        <w:tc>
          <w:tcPr>
            <w:tcW w:w="793" w:type="dxa"/>
            <w:vAlign w:val="bottom"/>
          </w:tcPr>
          <w:p w:rsidR="00916675" w:rsidRPr="00227C94" w:rsidRDefault="00916675" w:rsidP="000572BE">
            <w:pPr>
              <w:pStyle w:val="tblNumber01"/>
              <w:jc w:val="center"/>
            </w:pPr>
            <w:r w:rsidRPr="00227C94">
              <w:t>14</w:t>
            </w:r>
          </w:p>
        </w:tc>
        <w:tc>
          <w:tcPr>
            <w:tcW w:w="1417" w:type="dxa"/>
            <w:shd w:val="clear" w:color="auto" w:fill="auto"/>
            <w:vAlign w:val="bottom"/>
          </w:tcPr>
          <w:p w:rsidR="00916675" w:rsidRPr="00227C94" w:rsidRDefault="00916675" w:rsidP="000572BE">
            <w:pPr>
              <w:pStyle w:val="tblNumber01"/>
              <w:rPr>
                <w:rFonts w:cs="Arial"/>
                <w:b/>
              </w:rPr>
            </w:pPr>
            <w:r w:rsidRPr="00227C94">
              <w:rPr>
                <w:b/>
              </w:rPr>
              <w:t>657,448</w:t>
            </w:r>
          </w:p>
        </w:tc>
        <w:tc>
          <w:tcPr>
            <w:tcW w:w="283" w:type="dxa"/>
            <w:vAlign w:val="bottom"/>
          </w:tcPr>
          <w:p w:rsidR="00916675" w:rsidRPr="00227C94" w:rsidRDefault="00916675" w:rsidP="000572BE">
            <w:pPr>
              <w:pStyle w:val="tblNumber01"/>
            </w:pPr>
          </w:p>
        </w:tc>
        <w:tc>
          <w:tcPr>
            <w:tcW w:w="1417" w:type="dxa"/>
            <w:shd w:val="clear" w:color="auto" w:fill="auto"/>
            <w:vAlign w:val="bottom"/>
          </w:tcPr>
          <w:p w:rsidR="00916675" w:rsidRPr="00227C94" w:rsidRDefault="00916675" w:rsidP="000572BE">
            <w:pPr>
              <w:pStyle w:val="tblNumber01"/>
              <w:rPr>
                <w:b/>
              </w:rPr>
            </w:pPr>
            <w:r w:rsidRPr="00227C94">
              <w:rPr>
                <w:b/>
              </w:rPr>
              <w:t>326,905</w:t>
            </w: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rPr>
                <w:rFonts w:cs="Arial"/>
                <w:b/>
              </w:rPr>
            </w:pPr>
            <w:r w:rsidRPr="00227C94">
              <w:rPr>
                <w:b/>
              </w:rPr>
              <w:t>326,905</w:t>
            </w:r>
          </w:p>
        </w:tc>
      </w:tr>
      <w:tr w:rsidR="00916675" w:rsidRPr="00227C94" w:rsidTr="00A701F4">
        <w:trPr>
          <w:cantSplit/>
        </w:trPr>
        <w:tc>
          <w:tcPr>
            <w:tcW w:w="3802" w:type="dxa"/>
            <w:vAlign w:val="bottom"/>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vAlign w:val="bottom"/>
          </w:tcPr>
          <w:p w:rsidR="00916675" w:rsidRPr="00227C94" w:rsidRDefault="00916675" w:rsidP="000572BE">
            <w:pPr>
              <w:pStyle w:val="tblNumber01"/>
            </w:pPr>
          </w:p>
        </w:tc>
      </w:tr>
      <w:tr w:rsidR="00916675" w:rsidRPr="00227C94" w:rsidTr="00A701F4">
        <w:trPr>
          <w:cantSplit/>
        </w:trPr>
        <w:tc>
          <w:tcPr>
            <w:tcW w:w="3802" w:type="dxa"/>
            <w:vAlign w:val="bottom"/>
          </w:tcPr>
          <w:p w:rsidR="00916675" w:rsidRPr="00227C94" w:rsidRDefault="00916675" w:rsidP="000572BE">
            <w:pPr>
              <w:pStyle w:val="tblText02"/>
              <w:rPr>
                <w:bCs/>
                <w:lang w:val="en-US"/>
              </w:rPr>
            </w:pPr>
            <w:r w:rsidRPr="00227C94">
              <w:rPr>
                <w:lang w:val="en-US"/>
              </w:rPr>
              <w:t>Effect of foreign exchange rate changes on cash and cash equivalents</w:t>
            </w:r>
          </w:p>
        </w:tc>
        <w:tc>
          <w:tcPr>
            <w:tcW w:w="793" w:type="dxa"/>
            <w:vAlign w:val="bottom"/>
          </w:tcPr>
          <w:p w:rsidR="00916675" w:rsidRPr="00227C94" w:rsidRDefault="00916675" w:rsidP="000572BE">
            <w:pPr>
              <w:pStyle w:val="tblNumber01"/>
              <w:rPr>
                <w:lang w:val="en-US"/>
              </w:rPr>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(10,117)</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1"/>
            </w:pPr>
            <w:r w:rsidRPr="00227C94">
              <w:t>23,016</w:t>
            </w:r>
          </w:p>
        </w:tc>
        <w:tc>
          <w:tcPr>
            <w:tcW w:w="283" w:type="dxa"/>
            <w:vAlign w:val="bottom"/>
          </w:tcPr>
          <w:p w:rsidR="00916675" w:rsidRPr="00227C94" w:rsidRDefault="00916675" w:rsidP="000572BE">
            <w:pPr>
              <w:pStyle w:val="tblNumber01"/>
            </w:pPr>
          </w:p>
        </w:tc>
        <w:tc>
          <w:tcPr>
            <w:tcW w:w="1417" w:type="dxa"/>
            <w:tcBorders>
              <w:bottom w:val="single" w:sz="6" w:space="0" w:color="auto"/>
            </w:tcBorders>
            <w:shd w:val="clear" w:color="auto" w:fill="auto"/>
            <w:vAlign w:val="bottom"/>
          </w:tcPr>
          <w:p w:rsidR="00916675" w:rsidRPr="00227C94" w:rsidRDefault="00916675" w:rsidP="000572BE">
            <w:pPr>
              <w:pStyle w:val="tblNumber00"/>
            </w:pPr>
            <w:r w:rsidRPr="00227C94">
              <w:t>(39,541)</w:t>
            </w:r>
          </w:p>
        </w:tc>
      </w:tr>
      <w:tr w:rsidR="00916675" w:rsidRPr="00227C94" w:rsidTr="00A701F4">
        <w:trPr>
          <w:cantSplit/>
        </w:trPr>
        <w:tc>
          <w:tcPr>
            <w:tcW w:w="3802" w:type="dxa"/>
            <w:vAlign w:val="bottom"/>
          </w:tcPr>
          <w:p w:rsidR="00916675" w:rsidRPr="00227C94" w:rsidRDefault="00916675" w:rsidP="000572BE">
            <w:pPr>
              <w:pStyle w:val="tblText02"/>
            </w:pPr>
          </w:p>
        </w:tc>
        <w:tc>
          <w:tcPr>
            <w:tcW w:w="79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c>
          <w:tcPr>
            <w:tcW w:w="283" w:type="dxa"/>
            <w:vAlign w:val="bottom"/>
          </w:tcPr>
          <w:p w:rsidR="00916675" w:rsidRPr="00227C94" w:rsidRDefault="00916675" w:rsidP="000572BE">
            <w:pPr>
              <w:pStyle w:val="tblNumber01"/>
            </w:pPr>
          </w:p>
        </w:tc>
        <w:tc>
          <w:tcPr>
            <w:tcW w:w="1417" w:type="dxa"/>
            <w:tcBorders>
              <w:top w:val="single" w:sz="6" w:space="0" w:color="auto"/>
            </w:tcBorders>
            <w:shd w:val="clear" w:color="auto" w:fill="auto"/>
            <w:vAlign w:val="bottom"/>
          </w:tcPr>
          <w:p w:rsidR="00916675" w:rsidRPr="00227C94" w:rsidRDefault="00916675" w:rsidP="000572BE">
            <w:pPr>
              <w:pStyle w:val="tblNumber01"/>
            </w:pPr>
          </w:p>
        </w:tc>
      </w:tr>
      <w:tr w:rsidR="00916675" w:rsidRPr="00227C94" w:rsidTr="000572BE">
        <w:trPr>
          <w:cantSplit/>
        </w:trPr>
        <w:tc>
          <w:tcPr>
            <w:tcW w:w="3802" w:type="dxa"/>
            <w:vAlign w:val="bottom"/>
          </w:tcPr>
          <w:p w:rsidR="00916675" w:rsidRPr="00227C94" w:rsidRDefault="00916675" w:rsidP="000572BE">
            <w:pPr>
              <w:pStyle w:val="tblText02"/>
              <w:rPr>
                <w:b/>
                <w:lang w:val="en-US"/>
              </w:rPr>
            </w:pPr>
            <w:r w:rsidRPr="00227C94">
              <w:rPr>
                <w:b/>
                <w:lang w:val="en-US"/>
              </w:rPr>
              <w:t xml:space="preserve">Cash and cash equivalents at end of </w:t>
            </w:r>
            <w:r w:rsidR="000572BE" w:rsidRPr="00227C94">
              <w:rPr>
                <w:b/>
                <w:lang w:val="en-US"/>
              </w:rPr>
              <w:br/>
            </w:r>
            <w:r w:rsidRPr="00227C94">
              <w:rPr>
                <w:b/>
                <w:lang w:val="en-US"/>
              </w:rPr>
              <w:t>the period</w:t>
            </w:r>
          </w:p>
        </w:tc>
        <w:tc>
          <w:tcPr>
            <w:tcW w:w="793" w:type="dxa"/>
            <w:vAlign w:val="bottom"/>
          </w:tcPr>
          <w:p w:rsidR="00916675" w:rsidRPr="00227C94" w:rsidRDefault="00916675" w:rsidP="000572BE">
            <w:pPr>
              <w:pStyle w:val="tblNumber01"/>
              <w:jc w:val="center"/>
            </w:pPr>
            <w:r w:rsidRPr="00227C94">
              <w:t>14</w:t>
            </w:r>
          </w:p>
        </w:tc>
        <w:tc>
          <w:tcPr>
            <w:tcW w:w="1417" w:type="dxa"/>
            <w:tcBorders>
              <w:bottom w:val="double" w:sz="6" w:space="0" w:color="auto"/>
            </w:tcBorders>
            <w:shd w:val="clear" w:color="auto" w:fill="auto"/>
            <w:vAlign w:val="bottom"/>
          </w:tcPr>
          <w:p w:rsidR="00916675" w:rsidRPr="00227C94" w:rsidRDefault="00916675" w:rsidP="000572BE">
            <w:pPr>
              <w:pStyle w:val="tblNumber01"/>
              <w:rPr>
                <w:rFonts w:cs="Arial"/>
                <w:b/>
              </w:rPr>
            </w:pPr>
            <w:r w:rsidRPr="00227C94">
              <w:rPr>
                <w:b/>
              </w:rPr>
              <w:t>847,954</w:t>
            </w:r>
          </w:p>
        </w:tc>
        <w:tc>
          <w:tcPr>
            <w:tcW w:w="283" w:type="dxa"/>
            <w:vAlign w:val="bottom"/>
          </w:tcPr>
          <w:p w:rsidR="00916675" w:rsidRPr="00227C94" w:rsidRDefault="00916675" w:rsidP="000572BE">
            <w:pPr>
              <w:pStyle w:val="tblNumber01"/>
            </w:pPr>
          </w:p>
        </w:tc>
        <w:tc>
          <w:tcPr>
            <w:tcW w:w="1417" w:type="dxa"/>
            <w:tcBorders>
              <w:bottom w:val="double" w:sz="6" w:space="0" w:color="auto"/>
            </w:tcBorders>
            <w:shd w:val="clear" w:color="auto" w:fill="auto"/>
            <w:vAlign w:val="bottom"/>
          </w:tcPr>
          <w:p w:rsidR="00916675" w:rsidRPr="00227C94" w:rsidRDefault="00916675" w:rsidP="000572BE">
            <w:pPr>
              <w:pStyle w:val="tblNumber01"/>
              <w:rPr>
                <w:b/>
              </w:rPr>
            </w:pPr>
            <w:r w:rsidRPr="00227C94">
              <w:rPr>
                <w:b/>
              </w:rPr>
              <w:t>422,969</w:t>
            </w:r>
          </w:p>
        </w:tc>
        <w:tc>
          <w:tcPr>
            <w:tcW w:w="283" w:type="dxa"/>
            <w:vAlign w:val="bottom"/>
          </w:tcPr>
          <w:p w:rsidR="00916675" w:rsidRPr="00227C94" w:rsidRDefault="00916675" w:rsidP="000572BE">
            <w:pPr>
              <w:pStyle w:val="tblNumber01"/>
            </w:pPr>
          </w:p>
        </w:tc>
        <w:tc>
          <w:tcPr>
            <w:tcW w:w="1417" w:type="dxa"/>
            <w:tcBorders>
              <w:bottom w:val="double" w:sz="6" w:space="0" w:color="auto"/>
            </w:tcBorders>
            <w:shd w:val="clear" w:color="auto" w:fill="auto"/>
            <w:vAlign w:val="bottom"/>
          </w:tcPr>
          <w:p w:rsidR="00916675" w:rsidRPr="00227C94" w:rsidRDefault="00916675" w:rsidP="000572BE">
            <w:pPr>
              <w:pStyle w:val="tblNumber01"/>
              <w:rPr>
                <w:rFonts w:cs="Arial"/>
                <w:b/>
              </w:rPr>
            </w:pPr>
            <w:r w:rsidRPr="00227C94">
              <w:rPr>
                <w:b/>
              </w:rPr>
              <w:t>657,448</w:t>
            </w:r>
          </w:p>
        </w:tc>
      </w:tr>
    </w:tbl>
    <w:p w:rsidR="00916675" w:rsidRPr="00227C94" w:rsidRDefault="00916675" w:rsidP="000572BE">
      <w:pPr>
        <w:pStyle w:val="34"/>
      </w:pPr>
    </w:p>
    <w:p w:rsidR="00916675" w:rsidRPr="00227C94" w:rsidRDefault="00916675" w:rsidP="000572BE">
      <w:pPr>
        <w:pStyle w:val="34"/>
        <w:rPr>
          <w:szCs w:val="20"/>
        </w:rPr>
      </w:pPr>
    </w:p>
    <w:p w:rsidR="000572BE" w:rsidRPr="00227C94" w:rsidRDefault="000572BE" w:rsidP="00916675">
      <w:pPr>
        <w:rPr>
          <w:i/>
          <w:szCs w:val="20"/>
        </w:rPr>
        <w:sectPr w:rsidR="000572BE" w:rsidRPr="00227C94" w:rsidSect="00A34AA8">
          <w:pgSz w:w="11906" w:h="16838"/>
          <w:pgMar w:top="720" w:right="1077" w:bottom="431" w:left="1417" w:header="709" w:footer="709" w:gutter="0"/>
          <w:cols w:space="708"/>
          <w:docGrid w:linePitch="360"/>
        </w:sectPr>
      </w:pPr>
    </w:p>
    <w:p w:rsidR="00916675" w:rsidRPr="00227C94" w:rsidRDefault="00916675" w:rsidP="000572BE">
      <w:pPr>
        <w:pStyle w:val="a4"/>
      </w:pPr>
    </w:p>
    <w:p w:rsidR="00916675" w:rsidRPr="00227C94" w:rsidRDefault="00916675" w:rsidP="002E73D5">
      <w:pPr>
        <w:pStyle w:val="1"/>
        <w:numPr>
          <w:ilvl w:val="0"/>
          <w:numId w:val="27"/>
        </w:numPr>
      </w:pPr>
      <w:r w:rsidRPr="00227C94">
        <w:t>GENERAL</w:t>
      </w:r>
    </w:p>
    <w:p w:rsidR="00916675" w:rsidRPr="00227C94" w:rsidRDefault="00916675" w:rsidP="000572BE">
      <w:pPr>
        <w:pStyle w:val="23"/>
        <w:rPr>
          <w:color w:val="auto"/>
        </w:rPr>
      </w:pPr>
    </w:p>
    <w:p w:rsidR="00916675" w:rsidRPr="00227C94" w:rsidRDefault="00916675" w:rsidP="000572BE">
      <w:pPr>
        <w:pStyle w:val="23"/>
        <w:rPr>
          <w:color w:val="auto"/>
          <w:spacing w:val="-2"/>
          <w:lang w:val="en-US"/>
        </w:rPr>
      </w:pPr>
      <w:r w:rsidRPr="00227C94">
        <w:rPr>
          <w:color w:val="auto"/>
          <w:lang w:val="en-US"/>
        </w:rPr>
        <w:t xml:space="preserve">The principal activities of </w:t>
      </w:r>
      <w:r w:rsidRPr="00227C94">
        <w:rPr>
          <w:color w:val="auto"/>
          <w:spacing w:val="-2"/>
          <w:lang w:val="en-US"/>
        </w:rPr>
        <w:t>Polyus Gold International Limited (“PGIL” or the “Company”) and its controlled entities</w:t>
      </w:r>
      <w:r w:rsidRPr="00227C94">
        <w:rPr>
          <w:color w:val="auto"/>
          <w:lang w:val="en-US"/>
        </w:rPr>
        <w:t xml:space="preserve"> (the “Group”) are the extraction, refining and sale of gold. Mining and processing facilities of the Group are located in the Krasnoyarsk </w:t>
      </w:r>
      <w:r w:rsidRPr="00227C94">
        <w:rPr>
          <w:color w:val="auto"/>
          <w:spacing w:val="-2"/>
          <w:lang w:val="en-US"/>
        </w:rPr>
        <w:t>and Irkutsk regions and Sakha Republic of the Russian Federation and in the Republic of Kazakhstan.</w:t>
      </w:r>
    </w:p>
    <w:p w:rsidR="00916675" w:rsidRPr="00227C94" w:rsidRDefault="00916675" w:rsidP="000572BE">
      <w:pPr>
        <w:pStyle w:val="23"/>
        <w:rPr>
          <w:color w:val="auto"/>
          <w:lang w:val="en-US"/>
        </w:rPr>
      </w:pPr>
    </w:p>
    <w:p w:rsidR="00916675" w:rsidRPr="00227C94" w:rsidRDefault="00916675" w:rsidP="000572BE">
      <w:pPr>
        <w:pStyle w:val="23"/>
        <w:rPr>
          <w:color w:val="auto"/>
          <w:lang w:val="en-US"/>
        </w:rPr>
      </w:pPr>
      <w:r w:rsidRPr="00227C94">
        <w:rPr>
          <w:color w:val="auto"/>
          <w:spacing w:val="-3"/>
          <w:lang w:val="en-US"/>
        </w:rPr>
        <w:t xml:space="preserve">The Group also performs research, exploration and development works, primarily at the Natalka license </w:t>
      </w:r>
      <w:r w:rsidRPr="00227C94">
        <w:rPr>
          <w:color w:val="auto"/>
          <w:lang w:val="en-US"/>
        </w:rPr>
        <w:t>area located in the Magadan region, Nezhdaninskoe license areas located in the Sakha Republic, Kyrgyzstan and the Republic of Kazakhstan. Further details regarding the nature of the business and of the significant subsidiaries of the Group are presented in note 21.</w:t>
      </w:r>
    </w:p>
    <w:p w:rsidR="00916675" w:rsidRPr="00227C94" w:rsidRDefault="00916675" w:rsidP="000572BE">
      <w:pPr>
        <w:pStyle w:val="23"/>
        <w:rPr>
          <w:color w:val="auto"/>
          <w:lang w:val="en-US"/>
        </w:rPr>
      </w:pPr>
    </w:p>
    <w:p w:rsidR="00916675" w:rsidRPr="00227C94" w:rsidRDefault="00916675" w:rsidP="000572BE">
      <w:pPr>
        <w:pStyle w:val="23"/>
        <w:rPr>
          <w:color w:val="auto"/>
          <w:lang w:val="en-US"/>
        </w:rPr>
      </w:pPr>
    </w:p>
    <w:p w:rsidR="00916675" w:rsidRPr="00227C94" w:rsidRDefault="00916675" w:rsidP="00916675">
      <w:pPr>
        <w:pStyle w:val="1"/>
        <w:rPr>
          <w:lang w:val="en-US"/>
        </w:rPr>
      </w:pPr>
      <w:r w:rsidRPr="00227C94">
        <w:rPr>
          <w:lang w:val="en-US"/>
        </w:rPr>
        <w:t>BASIS OF PREPARATION AND PRESENTATION</w:t>
      </w:r>
    </w:p>
    <w:p w:rsidR="00916675" w:rsidRPr="00227C94" w:rsidRDefault="00916675" w:rsidP="000572BE">
      <w:pPr>
        <w:pStyle w:val="23"/>
        <w:rPr>
          <w:color w:val="auto"/>
        </w:rPr>
      </w:pPr>
    </w:p>
    <w:p w:rsidR="00916675" w:rsidRPr="00227C94" w:rsidRDefault="00916675" w:rsidP="000572BE">
      <w:pPr>
        <w:pStyle w:val="22"/>
      </w:pPr>
      <w:r w:rsidRPr="00227C94">
        <w:t>Going concern</w:t>
      </w:r>
    </w:p>
    <w:p w:rsidR="00916675" w:rsidRPr="00227C94" w:rsidRDefault="00916675" w:rsidP="000572BE">
      <w:pPr>
        <w:pStyle w:val="23"/>
        <w:rPr>
          <w:color w:val="auto"/>
        </w:rPr>
      </w:pPr>
    </w:p>
    <w:p w:rsidR="00916675" w:rsidRPr="00227C94" w:rsidRDefault="00916675" w:rsidP="000572BE">
      <w:pPr>
        <w:pStyle w:val="23"/>
        <w:rPr>
          <w:color w:val="auto"/>
          <w:lang w:val="en-US"/>
        </w:rPr>
      </w:pPr>
      <w:r w:rsidRPr="00227C94">
        <w:rPr>
          <w:color w:val="auto"/>
          <w:lang w:val="en-US"/>
        </w:rPr>
        <w:t xml:space="preserve">In assessing its going concern status, the Directors have taken account of the Group’s financial </w:t>
      </w:r>
      <w:r w:rsidRPr="00227C94">
        <w:rPr>
          <w:color w:val="auto"/>
          <w:spacing w:val="-2"/>
          <w:lang w:val="en-US"/>
        </w:rPr>
        <w:t xml:space="preserve">position, expected future trading performance, its borrowings and available credit facilities </w:t>
      </w:r>
      <w:r w:rsidRPr="00227C94">
        <w:rPr>
          <w:color w:val="auto"/>
          <w:lang w:val="en-US"/>
        </w:rPr>
        <w:t>and its capital expenditure commitments and plans, together with other risks facing the Group. After making appropriate enquiries, the Directors consider that the Group has adequate resources to continue in operational existence for at least the next</w:t>
      </w:r>
      <w:r w:rsidR="003B340C">
        <w:rPr>
          <w:color w:val="auto"/>
          <w:lang w:val="en-US"/>
        </w:rPr>
        <w:t xml:space="preserve"> </w:t>
      </w:r>
      <w:r w:rsidRPr="00227C94">
        <w:rPr>
          <w:color w:val="auto"/>
          <w:lang w:val="en-US"/>
        </w:rPr>
        <w:t>12 months from the date of these condensed consolidated interim financial statements and that it is appropriate to adopt the going concern basis in preparing these condensed consolidated interim financial statements.</w:t>
      </w:r>
    </w:p>
    <w:p w:rsidR="00916675" w:rsidRPr="00227C94" w:rsidRDefault="00916675" w:rsidP="000572BE">
      <w:pPr>
        <w:pStyle w:val="23"/>
        <w:rPr>
          <w:color w:val="auto"/>
          <w:lang w:val="en-US"/>
        </w:rPr>
      </w:pPr>
    </w:p>
    <w:p w:rsidR="00916675" w:rsidRPr="00227C94" w:rsidRDefault="00916675" w:rsidP="000572BE">
      <w:pPr>
        <w:pStyle w:val="22"/>
        <w:rPr>
          <w:lang w:val="en-US"/>
        </w:rPr>
      </w:pPr>
      <w:r w:rsidRPr="00227C94">
        <w:rPr>
          <w:lang w:val="en-US"/>
        </w:rPr>
        <w:t>Compliance with the International Financial Reporting Standards</w:t>
      </w:r>
    </w:p>
    <w:p w:rsidR="00916675" w:rsidRPr="00227C94" w:rsidRDefault="00916675" w:rsidP="000572BE">
      <w:pPr>
        <w:pStyle w:val="23"/>
        <w:rPr>
          <w:color w:val="auto"/>
          <w:lang w:val="en-US"/>
        </w:rPr>
      </w:pPr>
    </w:p>
    <w:p w:rsidR="00916675" w:rsidRPr="00227C94" w:rsidRDefault="00916675" w:rsidP="000572BE">
      <w:pPr>
        <w:pStyle w:val="23"/>
        <w:rPr>
          <w:color w:val="auto"/>
          <w:spacing w:val="-2"/>
          <w:lang w:val="en-US"/>
        </w:rPr>
      </w:pPr>
      <w:r w:rsidRPr="00227C94">
        <w:rPr>
          <w:color w:val="auto"/>
          <w:lang w:val="en-US"/>
        </w:rPr>
        <w:t xml:space="preserve">The same accounting policies, presentation and methods of computation have been followed in </w:t>
      </w:r>
      <w:r w:rsidRPr="00227C94">
        <w:rPr>
          <w:color w:val="auto"/>
          <w:spacing w:val="-2"/>
          <w:lang w:val="en-US"/>
        </w:rPr>
        <w:t>these condensed consolidated interim financial statements as were applied in the Group’s consolidated financial statements for the year ended 31 December 2011.</w:t>
      </w:r>
    </w:p>
    <w:p w:rsidR="00916675" w:rsidRPr="00227C94" w:rsidRDefault="00916675" w:rsidP="000572BE">
      <w:pPr>
        <w:pStyle w:val="23"/>
        <w:rPr>
          <w:color w:val="auto"/>
          <w:spacing w:val="-2"/>
          <w:lang w:val="en-US"/>
        </w:rPr>
      </w:pPr>
    </w:p>
    <w:p w:rsidR="00916675" w:rsidRPr="00227C94" w:rsidRDefault="00916675" w:rsidP="000572BE">
      <w:pPr>
        <w:pStyle w:val="23"/>
        <w:rPr>
          <w:color w:val="auto"/>
          <w:lang w:val="en-US"/>
        </w:rPr>
      </w:pPr>
      <w:r w:rsidRPr="00227C94">
        <w:rPr>
          <w:color w:val="auto"/>
          <w:lang w:val="en-US"/>
        </w:rPr>
        <w:t>The condensed consolidated interim financial statements have been prepared in compliance with International Accounting Standard (“IAS”) 34 “</w:t>
      </w:r>
      <w:r w:rsidRPr="00227C94">
        <w:rPr>
          <w:i/>
          <w:color w:val="auto"/>
          <w:lang w:val="en-US"/>
        </w:rPr>
        <w:t>Interim Financial Reporting”.</w:t>
      </w:r>
    </w:p>
    <w:p w:rsidR="00916675" w:rsidRPr="00227C94" w:rsidRDefault="00916675" w:rsidP="000572BE">
      <w:pPr>
        <w:pStyle w:val="23"/>
        <w:rPr>
          <w:color w:val="auto"/>
          <w:lang w:val="en-US"/>
        </w:rPr>
      </w:pPr>
    </w:p>
    <w:p w:rsidR="00916675" w:rsidRPr="00227C94" w:rsidRDefault="00916675" w:rsidP="000572BE">
      <w:pPr>
        <w:pStyle w:val="22"/>
        <w:rPr>
          <w:caps/>
        </w:rPr>
      </w:pPr>
      <w:r w:rsidRPr="00227C94">
        <w:t>Basis of presentation</w:t>
      </w:r>
    </w:p>
    <w:p w:rsidR="00916675" w:rsidRPr="00227C94" w:rsidRDefault="00916675" w:rsidP="000572BE">
      <w:pPr>
        <w:pStyle w:val="23"/>
        <w:rPr>
          <w:color w:val="auto"/>
        </w:rPr>
      </w:pPr>
    </w:p>
    <w:p w:rsidR="00916675" w:rsidRPr="00227C94" w:rsidRDefault="00916675" w:rsidP="000572BE">
      <w:pPr>
        <w:pStyle w:val="23"/>
        <w:rPr>
          <w:color w:val="auto"/>
          <w:lang w:val="en-US"/>
        </w:rPr>
      </w:pPr>
      <w:r w:rsidRPr="00227C94">
        <w:rPr>
          <w:color w:val="auto"/>
          <w:lang w:val="en-US"/>
        </w:rPr>
        <w:t xml:space="preserve">The entities of the Group maintain their accounting records in accordance with the laws, </w:t>
      </w:r>
      <w:r w:rsidRPr="00227C94">
        <w:rPr>
          <w:color w:val="auto"/>
          <w:spacing w:val="-2"/>
          <w:lang w:val="en-US"/>
        </w:rPr>
        <w:t xml:space="preserve">accounting </w:t>
      </w:r>
      <w:r w:rsidRPr="00227C94">
        <w:rPr>
          <w:color w:val="auto"/>
          <w:spacing w:val="-4"/>
          <w:lang w:val="en-US"/>
        </w:rPr>
        <w:t xml:space="preserve">and reporting regulations of the jurisdiction in which they are incorporated and registered. The accounting </w:t>
      </w:r>
      <w:r w:rsidRPr="00227C94">
        <w:rPr>
          <w:color w:val="auto"/>
          <w:lang w:val="en-US"/>
        </w:rPr>
        <w:t>principles and financial reporting procedures in these jurisdictions may differ substantially from those generally accepted under IFRS as adopted by the EU. Accordingly, such financial information has been adjusted to ensure that the condensed consolidated interim financial statements are presented in accordance with IFRS as adopted by the EU.</w:t>
      </w:r>
    </w:p>
    <w:p w:rsidR="00916675" w:rsidRPr="00227C94" w:rsidRDefault="00916675" w:rsidP="000572BE">
      <w:pPr>
        <w:pStyle w:val="23"/>
        <w:rPr>
          <w:color w:val="auto"/>
          <w:lang w:val="en-US"/>
        </w:rPr>
      </w:pPr>
    </w:p>
    <w:p w:rsidR="00916675" w:rsidRPr="00227C94" w:rsidRDefault="00916675" w:rsidP="000572BE">
      <w:pPr>
        <w:pStyle w:val="23"/>
        <w:rPr>
          <w:color w:val="auto"/>
          <w:lang w:val="en-US"/>
        </w:rPr>
      </w:pPr>
      <w:r w:rsidRPr="00227C94">
        <w:rPr>
          <w:color w:val="auto"/>
          <w:lang w:val="en-US"/>
        </w:rPr>
        <w:t xml:space="preserve">The condensed consolidated interim financial statements of the Group are prepared on the historical cost basis, except for mark-to-market valuation of certain financial instruments, in accordance with IAS 39 </w:t>
      </w:r>
      <w:r w:rsidRPr="00227C94">
        <w:rPr>
          <w:i/>
          <w:color w:val="auto"/>
          <w:lang w:val="en-US"/>
        </w:rPr>
        <w:t>“Financial Instruments: recognition and measurement”.</w:t>
      </w:r>
    </w:p>
    <w:p w:rsidR="00916675" w:rsidRPr="00227C94" w:rsidRDefault="00916675" w:rsidP="000572BE">
      <w:pPr>
        <w:pStyle w:val="23"/>
        <w:rPr>
          <w:color w:val="auto"/>
          <w:lang w:val="en-US"/>
        </w:rPr>
      </w:pPr>
    </w:p>
    <w:p w:rsidR="00916675" w:rsidRPr="00227C94" w:rsidRDefault="00916675" w:rsidP="000572BE">
      <w:pPr>
        <w:pStyle w:val="a4"/>
        <w:pageBreakBefore/>
        <w:tabs>
          <w:tab w:val="left" w:pos="476"/>
        </w:tabs>
        <w:rPr>
          <w:b/>
          <w:lang w:val="en-US"/>
        </w:rPr>
      </w:pPr>
      <w:r w:rsidRPr="00227C94">
        <w:rPr>
          <w:b/>
          <w:lang w:val="en-US"/>
        </w:rPr>
        <w:lastRenderedPageBreak/>
        <w:t>2.</w:t>
      </w:r>
      <w:r w:rsidRPr="00227C94">
        <w:rPr>
          <w:b/>
          <w:lang w:val="en-US"/>
        </w:rPr>
        <w:tab/>
        <w:t>BASIS OF PREPARATION AND PRESENTATION (</w:t>
      </w:r>
      <w:r w:rsidR="00291505" w:rsidRPr="00227C94">
        <w:rPr>
          <w:b/>
          <w:lang w:val="en-US"/>
        </w:rPr>
        <w:t>continued</w:t>
      </w:r>
      <w:r w:rsidRPr="00227C94">
        <w:rPr>
          <w:b/>
          <w:lang w:val="en-US"/>
        </w:rPr>
        <w:t>)</w:t>
      </w:r>
    </w:p>
    <w:p w:rsidR="00916675" w:rsidRPr="00227C94" w:rsidRDefault="00916675" w:rsidP="000572BE">
      <w:pPr>
        <w:pStyle w:val="23"/>
        <w:rPr>
          <w:color w:val="auto"/>
          <w:lang w:val="en-US"/>
        </w:rPr>
      </w:pPr>
    </w:p>
    <w:p w:rsidR="00916675" w:rsidRPr="00227C94" w:rsidRDefault="00916675" w:rsidP="000572BE">
      <w:pPr>
        <w:pStyle w:val="22"/>
        <w:rPr>
          <w:lang w:val="en-US"/>
        </w:rPr>
      </w:pPr>
      <w:r w:rsidRPr="00227C94">
        <w:rPr>
          <w:lang w:val="en-US"/>
        </w:rPr>
        <w:t>Standards and Interpretations in issue not yet adopted</w:t>
      </w:r>
    </w:p>
    <w:p w:rsidR="00916675" w:rsidRPr="00227C94" w:rsidRDefault="00916675" w:rsidP="000572BE">
      <w:pPr>
        <w:pStyle w:val="23"/>
        <w:rPr>
          <w:color w:val="auto"/>
          <w:lang w:val="en-US"/>
        </w:rPr>
      </w:pPr>
    </w:p>
    <w:p w:rsidR="00916675" w:rsidRPr="00227C94" w:rsidRDefault="00916675" w:rsidP="000572BE">
      <w:pPr>
        <w:pStyle w:val="23"/>
        <w:rPr>
          <w:color w:val="auto"/>
          <w:lang w:val="en-US"/>
        </w:rPr>
      </w:pPr>
      <w:r w:rsidRPr="00227C94">
        <w:rPr>
          <w:color w:val="auto"/>
          <w:lang w:val="en-US"/>
        </w:rPr>
        <w:t xml:space="preserve">At the date of approval of the condensed consolidated interim financial statements, the following new </w:t>
      </w:r>
      <w:r w:rsidRPr="00227C94">
        <w:rPr>
          <w:color w:val="auto"/>
          <w:spacing w:val="-3"/>
          <w:lang w:val="en-US"/>
        </w:rPr>
        <w:t xml:space="preserve">or amended IFRS standards have been issued by the IASB during the six months ended 30 June 2012, </w:t>
      </w:r>
      <w:r w:rsidRPr="00227C94">
        <w:rPr>
          <w:color w:val="auto"/>
          <w:lang w:val="en-US"/>
        </w:rPr>
        <w:t>but are not mandatory for the current reporting period and therefore have not been applied:</w:t>
      </w:r>
    </w:p>
    <w:p w:rsidR="00916675" w:rsidRPr="00227C94" w:rsidRDefault="00916675" w:rsidP="000572BE">
      <w:pPr>
        <w:pStyle w:val="23"/>
        <w:rPr>
          <w:color w:val="auto"/>
          <w:lang w:val="en-US"/>
        </w:rPr>
      </w:pPr>
    </w:p>
    <w:tbl>
      <w:tblPr>
        <w:tblW w:w="8935" w:type="dxa"/>
        <w:tblInd w:w="476" w:type="dxa"/>
        <w:tblLayout w:type="fixed"/>
        <w:tblCellMar>
          <w:left w:w="0" w:type="dxa"/>
          <w:right w:w="0" w:type="dxa"/>
        </w:tblCellMar>
        <w:tblLook w:val="01E0" w:firstRow="1" w:lastRow="1" w:firstColumn="1" w:lastColumn="1" w:noHBand="0" w:noVBand="0"/>
      </w:tblPr>
      <w:tblGrid>
        <w:gridCol w:w="7037"/>
        <w:gridCol w:w="1898"/>
      </w:tblGrid>
      <w:tr w:rsidR="00916675" w:rsidRPr="00227C94" w:rsidTr="00A701F4">
        <w:trPr>
          <w:cantSplit/>
        </w:trPr>
        <w:tc>
          <w:tcPr>
            <w:tcW w:w="7037" w:type="dxa"/>
            <w:shd w:val="clear" w:color="auto" w:fill="auto"/>
            <w:vAlign w:val="bottom"/>
          </w:tcPr>
          <w:p w:rsidR="00916675" w:rsidRPr="00227C94" w:rsidRDefault="00916675" w:rsidP="000572BE">
            <w:pPr>
              <w:pStyle w:val="tblHeaderText"/>
              <w:jc w:val="left"/>
              <w:rPr>
                <w:lang w:val="en-US"/>
              </w:rPr>
            </w:pPr>
          </w:p>
        </w:tc>
        <w:tc>
          <w:tcPr>
            <w:tcW w:w="1898" w:type="dxa"/>
            <w:tcBorders>
              <w:bottom w:val="single" w:sz="6" w:space="0" w:color="auto"/>
            </w:tcBorders>
            <w:shd w:val="clear" w:color="auto" w:fill="auto"/>
          </w:tcPr>
          <w:p w:rsidR="00916675" w:rsidRPr="00227C94" w:rsidRDefault="00916675" w:rsidP="000572BE">
            <w:pPr>
              <w:pStyle w:val="tblHeaderText"/>
              <w:rPr>
                <w:lang w:val="en-US"/>
              </w:rPr>
            </w:pPr>
            <w:r w:rsidRPr="00227C94">
              <w:rPr>
                <w:lang w:val="en-US"/>
              </w:rPr>
              <w:t xml:space="preserve">Effective </w:t>
            </w:r>
            <w:r w:rsidR="00291505" w:rsidRPr="00227C94">
              <w:rPr>
                <w:lang w:val="en-US"/>
              </w:rPr>
              <w:br/>
            </w:r>
            <w:r w:rsidRPr="00227C94">
              <w:rPr>
                <w:lang w:val="en-US"/>
              </w:rPr>
              <w:t>for annual periods beginning on or after</w:t>
            </w:r>
          </w:p>
        </w:tc>
      </w:tr>
      <w:tr w:rsidR="00916675" w:rsidRPr="00227C94" w:rsidTr="00291505">
        <w:trPr>
          <w:cantSplit/>
        </w:trPr>
        <w:tc>
          <w:tcPr>
            <w:tcW w:w="7037" w:type="dxa"/>
            <w:shd w:val="clear" w:color="auto" w:fill="auto"/>
            <w:vAlign w:val="bottom"/>
          </w:tcPr>
          <w:p w:rsidR="00916675" w:rsidRPr="00227C94" w:rsidRDefault="00916675" w:rsidP="000572BE">
            <w:pPr>
              <w:pStyle w:val="tblText02"/>
              <w:rPr>
                <w:lang w:val="en-US"/>
              </w:rPr>
            </w:pPr>
          </w:p>
        </w:tc>
        <w:tc>
          <w:tcPr>
            <w:tcW w:w="1898" w:type="dxa"/>
            <w:tcBorders>
              <w:top w:val="single" w:sz="6" w:space="0" w:color="auto"/>
            </w:tcBorders>
            <w:shd w:val="clear" w:color="auto" w:fill="auto"/>
            <w:vAlign w:val="bottom"/>
          </w:tcPr>
          <w:p w:rsidR="00916675" w:rsidRPr="00227C94" w:rsidRDefault="00916675" w:rsidP="000572BE">
            <w:pPr>
              <w:pStyle w:val="tblNumber01"/>
              <w:rPr>
                <w:lang w:val="en-US"/>
              </w:rPr>
            </w:pPr>
          </w:p>
        </w:tc>
      </w:tr>
      <w:tr w:rsidR="00916675" w:rsidRPr="00227C94" w:rsidTr="00291505">
        <w:trPr>
          <w:cantSplit/>
        </w:trPr>
        <w:tc>
          <w:tcPr>
            <w:tcW w:w="7037" w:type="dxa"/>
            <w:vAlign w:val="bottom"/>
          </w:tcPr>
          <w:p w:rsidR="00916675" w:rsidRPr="00227C94" w:rsidRDefault="00916675" w:rsidP="000572BE">
            <w:pPr>
              <w:pStyle w:val="tblText02"/>
              <w:rPr>
                <w:lang w:val="en-US"/>
              </w:rPr>
            </w:pPr>
            <w:r w:rsidRPr="00227C94">
              <w:rPr>
                <w:lang w:val="en-US"/>
              </w:rPr>
              <w:t>IFRS 7 “Financial Instruments: Disclosures” – amendment</w:t>
            </w:r>
          </w:p>
        </w:tc>
        <w:tc>
          <w:tcPr>
            <w:tcW w:w="1898" w:type="dxa"/>
            <w:vAlign w:val="bottom"/>
          </w:tcPr>
          <w:p w:rsidR="00916675" w:rsidRPr="00227C94" w:rsidRDefault="00916675" w:rsidP="000572BE">
            <w:pPr>
              <w:pStyle w:val="tblNumber01"/>
            </w:pPr>
            <w:r w:rsidRPr="00227C94">
              <w:t>1 January 2013</w:t>
            </w:r>
          </w:p>
        </w:tc>
      </w:tr>
      <w:tr w:rsidR="00916675" w:rsidRPr="00227C94" w:rsidTr="00291505">
        <w:trPr>
          <w:cantSplit/>
        </w:trPr>
        <w:tc>
          <w:tcPr>
            <w:tcW w:w="7037" w:type="dxa"/>
            <w:vAlign w:val="bottom"/>
          </w:tcPr>
          <w:p w:rsidR="00916675" w:rsidRPr="00227C94" w:rsidRDefault="00916675" w:rsidP="000572BE">
            <w:pPr>
              <w:pStyle w:val="tblText02"/>
              <w:rPr>
                <w:lang w:val="en-US"/>
              </w:rPr>
            </w:pPr>
            <w:r w:rsidRPr="00227C94">
              <w:rPr>
                <w:lang w:val="en-US"/>
              </w:rPr>
              <w:t>IFRS 9 “Financial Instruments – Classification and Measurement”</w:t>
            </w:r>
          </w:p>
        </w:tc>
        <w:tc>
          <w:tcPr>
            <w:tcW w:w="1898" w:type="dxa"/>
            <w:vAlign w:val="bottom"/>
          </w:tcPr>
          <w:p w:rsidR="00916675" w:rsidRPr="00227C94" w:rsidRDefault="00916675" w:rsidP="000572BE">
            <w:pPr>
              <w:pStyle w:val="tblNumber01"/>
            </w:pPr>
            <w:r w:rsidRPr="00227C94">
              <w:t>1 January 2013</w:t>
            </w:r>
          </w:p>
        </w:tc>
      </w:tr>
      <w:tr w:rsidR="00916675" w:rsidRPr="00227C94" w:rsidTr="00291505">
        <w:trPr>
          <w:cantSplit/>
        </w:trPr>
        <w:tc>
          <w:tcPr>
            <w:tcW w:w="7037" w:type="dxa"/>
            <w:vAlign w:val="bottom"/>
          </w:tcPr>
          <w:p w:rsidR="00916675" w:rsidRPr="00227C94" w:rsidRDefault="00916675" w:rsidP="000572BE">
            <w:pPr>
              <w:pStyle w:val="tblText02"/>
            </w:pPr>
            <w:r w:rsidRPr="00227C94">
              <w:t>IFRS 10 “Consolidated financial statements”</w:t>
            </w:r>
          </w:p>
        </w:tc>
        <w:tc>
          <w:tcPr>
            <w:tcW w:w="1898" w:type="dxa"/>
            <w:vAlign w:val="bottom"/>
          </w:tcPr>
          <w:p w:rsidR="00916675" w:rsidRPr="00227C94" w:rsidRDefault="00916675" w:rsidP="000572BE">
            <w:pPr>
              <w:pStyle w:val="tblNumber01"/>
            </w:pPr>
            <w:r w:rsidRPr="00227C94">
              <w:t>1 January 2013</w:t>
            </w:r>
          </w:p>
        </w:tc>
      </w:tr>
      <w:tr w:rsidR="00916675" w:rsidRPr="00227C94" w:rsidTr="00291505">
        <w:trPr>
          <w:cantSplit/>
        </w:trPr>
        <w:tc>
          <w:tcPr>
            <w:tcW w:w="7037" w:type="dxa"/>
            <w:vAlign w:val="bottom"/>
          </w:tcPr>
          <w:p w:rsidR="00916675" w:rsidRPr="00227C94" w:rsidRDefault="00916675" w:rsidP="000572BE">
            <w:pPr>
              <w:pStyle w:val="tblText02"/>
            </w:pPr>
            <w:r w:rsidRPr="00227C94">
              <w:t>IFRS 11 “Joint arrangements”</w:t>
            </w:r>
          </w:p>
        </w:tc>
        <w:tc>
          <w:tcPr>
            <w:tcW w:w="1898" w:type="dxa"/>
            <w:vAlign w:val="bottom"/>
          </w:tcPr>
          <w:p w:rsidR="00916675" w:rsidRPr="00227C94" w:rsidRDefault="00916675" w:rsidP="000572BE">
            <w:pPr>
              <w:pStyle w:val="tblNumber01"/>
            </w:pPr>
            <w:r w:rsidRPr="00227C94">
              <w:t>1 January 2013</w:t>
            </w:r>
          </w:p>
        </w:tc>
      </w:tr>
      <w:tr w:rsidR="00916675" w:rsidRPr="00227C94" w:rsidTr="00291505">
        <w:trPr>
          <w:cantSplit/>
        </w:trPr>
        <w:tc>
          <w:tcPr>
            <w:tcW w:w="7037" w:type="dxa"/>
            <w:vAlign w:val="bottom"/>
          </w:tcPr>
          <w:p w:rsidR="00916675" w:rsidRPr="00227C94" w:rsidRDefault="00916675" w:rsidP="000572BE">
            <w:pPr>
              <w:pStyle w:val="tblText02"/>
              <w:rPr>
                <w:lang w:val="en-US"/>
              </w:rPr>
            </w:pPr>
            <w:r w:rsidRPr="00227C94">
              <w:rPr>
                <w:lang w:val="en-US"/>
              </w:rPr>
              <w:t>IFRS 12 “Disclosure of interests in other entities”</w:t>
            </w:r>
          </w:p>
        </w:tc>
        <w:tc>
          <w:tcPr>
            <w:tcW w:w="1898" w:type="dxa"/>
            <w:vAlign w:val="bottom"/>
          </w:tcPr>
          <w:p w:rsidR="00916675" w:rsidRPr="00227C94" w:rsidRDefault="00916675" w:rsidP="000572BE">
            <w:pPr>
              <w:pStyle w:val="tblNumber01"/>
            </w:pPr>
            <w:r w:rsidRPr="00227C94">
              <w:t>1 January 2013</w:t>
            </w:r>
          </w:p>
        </w:tc>
      </w:tr>
      <w:tr w:rsidR="00916675" w:rsidRPr="00227C94" w:rsidTr="00291505">
        <w:trPr>
          <w:cantSplit/>
        </w:trPr>
        <w:tc>
          <w:tcPr>
            <w:tcW w:w="7037" w:type="dxa"/>
            <w:vAlign w:val="bottom"/>
          </w:tcPr>
          <w:p w:rsidR="00916675" w:rsidRPr="00227C94" w:rsidRDefault="00916675" w:rsidP="000572BE">
            <w:pPr>
              <w:pStyle w:val="tblText02"/>
            </w:pPr>
            <w:r w:rsidRPr="00227C94">
              <w:t>IFRS 13 “Fair value measurement”</w:t>
            </w:r>
          </w:p>
        </w:tc>
        <w:tc>
          <w:tcPr>
            <w:tcW w:w="1898" w:type="dxa"/>
            <w:vAlign w:val="bottom"/>
          </w:tcPr>
          <w:p w:rsidR="00916675" w:rsidRPr="00227C94" w:rsidRDefault="00916675" w:rsidP="000572BE">
            <w:pPr>
              <w:pStyle w:val="tblNumber01"/>
            </w:pPr>
            <w:r w:rsidRPr="00227C94">
              <w:t>1 January 2013</w:t>
            </w:r>
          </w:p>
        </w:tc>
      </w:tr>
      <w:tr w:rsidR="00916675" w:rsidRPr="00227C94" w:rsidTr="00291505">
        <w:trPr>
          <w:cantSplit/>
        </w:trPr>
        <w:tc>
          <w:tcPr>
            <w:tcW w:w="7037" w:type="dxa"/>
            <w:vAlign w:val="bottom"/>
          </w:tcPr>
          <w:p w:rsidR="00916675" w:rsidRPr="00227C94" w:rsidRDefault="00916675" w:rsidP="000572BE">
            <w:pPr>
              <w:pStyle w:val="tblText02"/>
            </w:pPr>
            <w:r w:rsidRPr="00227C94">
              <w:t>IAS 19 “Employee benefits” – amendment</w:t>
            </w:r>
          </w:p>
        </w:tc>
        <w:tc>
          <w:tcPr>
            <w:tcW w:w="1898" w:type="dxa"/>
            <w:vAlign w:val="bottom"/>
          </w:tcPr>
          <w:p w:rsidR="00916675" w:rsidRPr="00227C94" w:rsidRDefault="00916675" w:rsidP="000572BE">
            <w:pPr>
              <w:pStyle w:val="tblNumber01"/>
            </w:pPr>
            <w:r w:rsidRPr="00227C94">
              <w:t>1 January 2013</w:t>
            </w:r>
          </w:p>
        </w:tc>
      </w:tr>
      <w:tr w:rsidR="00916675" w:rsidRPr="00227C94" w:rsidTr="00291505">
        <w:trPr>
          <w:cantSplit/>
        </w:trPr>
        <w:tc>
          <w:tcPr>
            <w:tcW w:w="7037" w:type="dxa"/>
            <w:vAlign w:val="bottom"/>
          </w:tcPr>
          <w:p w:rsidR="00916675" w:rsidRPr="00227C94" w:rsidRDefault="00916675" w:rsidP="000572BE">
            <w:pPr>
              <w:pStyle w:val="tblText02"/>
              <w:rPr>
                <w:lang w:val="en-US"/>
              </w:rPr>
            </w:pPr>
            <w:r w:rsidRPr="00227C94">
              <w:rPr>
                <w:lang w:val="en-US"/>
              </w:rPr>
              <w:t>IAS 27 “Separate financial statements” – amendment</w:t>
            </w:r>
          </w:p>
        </w:tc>
        <w:tc>
          <w:tcPr>
            <w:tcW w:w="1898" w:type="dxa"/>
            <w:vAlign w:val="bottom"/>
          </w:tcPr>
          <w:p w:rsidR="00916675" w:rsidRPr="00227C94" w:rsidRDefault="00916675" w:rsidP="000572BE">
            <w:pPr>
              <w:pStyle w:val="tblNumber01"/>
            </w:pPr>
            <w:r w:rsidRPr="00227C94">
              <w:t>1 January 2013</w:t>
            </w:r>
          </w:p>
        </w:tc>
      </w:tr>
      <w:tr w:rsidR="00916675" w:rsidRPr="00227C94" w:rsidTr="00291505">
        <w:trPr>
          <w:cantSplit/>
        </w:trPr>
        <w:tc>
          <w:tcPr>
            <w:tcW w:w="7037" w:type="dxa"/>
            <w:vAlign w:val="bottom"/>
          </w:tcPr>
          <w:p w:rsidR="00916675" w:rsidRPr="00227C94" w:rsidRDefault="00916675" w:rsidP="000572BE">
            <w:pPr>
              <w:pStyle w:val="tblText02"/>
              <w:rPr>
                <w:lang w:val="en-US"/>
              </w:rPr>
            </w:pPr>
            <w:r w:rsidRPr="00227C94">
              <w:rPr>
                <w:lang w:val="en-US"/>
              </w:rPr>
              <w:t>IAS 28 “Investments in associates and joint ventures” – amendment</w:t>
            </w:r>
          </w:p>
        </w:tc>
        <w:tc>
          <w:tcPr>
            <w:tcW w:w="1898" w:type="dxa"/>
            <w:vAlign w:val="bottom"/>
          </w:tcPr>
          <w:p w:rsidR="00916675" w:rsidRPr="00227C94" w:rsidRDefault="00916675" w:rsidP="000572BE">
            <w:pPr>
              <w:pStyle w:val="tblNumber01"/>
            </w:pPr>
            <w:r w:rsidRPr="00227C94">
              <w:t>1 January 2013</w:t>
            </w:r>
          </w:p>
        </w:tc>
      </w:tr>
      <w:tr w:rsidR="00916675" w:rsidRPr="00227C94" w:rsidTr="00291505">
        <w:trPr>
          <w:cantSplit/>
        </w:trPr>
        <w:tc>
          <w:tcPr>
            <w:tcW w:w="7037" w:type="dxa"/>
            <w:vAlign w:val="bottom"/>
          </w:tcPr>
          <w:p w:rsidR="00916675" w:rsidRPr="00227C94" w:rsidRDefault="00916675" w:rsidP="000572BE">
            <w:pPr>
              <w:pStyle w:val="tblText02"/>
              <w:rPr>
                <w:lang w:val="en-US"/>
              </w:rPr>
            </w:pPr>
            <w:r w:rsidRPr="00227C94">
              <w:rPr>
                <w:lang w:val="en-US"/>
              </w:rPr>
              <w:t>IAS 32 “Financial instruments: Presentation” – amendment</w:t>
            </w:r>
          </w:p>
        </w:tc>
        <w:tc>
          <w:tcPr>
            <w:tcW w:w="1898" w:type="dxa"/>
            <w:vAlign w:val="bottom"/>
          </w:tcPr>
          <w:p w:rsidR="00916675" w:rsidRPr="00227C94" w:rsidRDefault="00916675" w:rsidP="000572BE">
            <w:pPr>
              <w:pStyle w:val="tblNumber01"/>
            </w:pPr>
            <w:r w:rsidRPr="00227C94">
              <w:t>1 January 2014</w:t>
            </w:r>
          </w:p>
        </w:tc>
      </w:tr>
      <w:tr w:rsidR="00916675" w:rsidRPr="00227C94" w:rsidTr="00291505">
        <w:trPr>
          <w:cantSplit/>
        </w:trPr>
        <w:tc>
          <w:tcPr>
            <w:tcW w:w="7037" w:type="dxa"/>
            <w:vAlign w:val="bottom"/>
          </w:tcPr>
          <w:p w:rsidR="00916675" w:rsidRPr="00227C94" w:rsidRDefault="00916675" w:rsidP="000572BE">
            <w:pPr>
              <w:pStyle w:val="tblText02"/>
              <w:rPr>
                <w:lang w:val="en-US"/>
              </w:rPr>
            </w:pPr>
            <w:r w:rsidRPr="00227C94">
              <w:rPr>
                <w:lang w:val="en-US"/>
              </w:rPr>
              <w:t>IAS 34 “Interim Financial Reporting” – amendment</w:t>
            </w:r>
          </w:p>
        </w:tc>
        <w:tc>
          <w:tcPr>
            <w:tcW w:w="1898" w:type="dxa"/>
            <w:vAlign w:val="bottom"/>
          </w:tcPr>
          <w:p w:rsidR="00916675" w:rsidRPr="00227C94" w:rsidRDefault="00916675" w:rsidP="000572BE">
            <w:pPr>
              <w:pStyle w:val="tblNumber01"/>
            </w:pPr>
            <w:r w:rsidRPr="00227C94">
              <w:t>1 January 2013</w:t>
            </w:r>
          </w:p>
        </w:tc>
      </w:tr>
      <w:tr w:rsidR="00916675" w:rsidRPr="00227C94" w:rsidTr="00291505">
        <w:trPr>
          <w:cantSplit/>
        </w:trPr>
        <w:tc>
          <w:tcPr>
            <w:tcW w:w="7037" w:type="dxa"/>
            <w:vAlign w:val="bottom"/>
          </w:tcPr>
          <w:p w:rsidR="00916675" w:rsidRPr="00227C94" w:rsidRDefault="00916675" w:rsidP="000572BE">
            <w:pPr>
              <w:pStyle w:val="tblText02"/>
              <w:rPr>
                <w:lang w:val="en-US"/>
              </w:rPr>
            </w:pPr>
            <w:r w:rsidRPr="00227C94">
              <w:rPr>
                <w:lang w:val="en-US"/>
              </w:rPr>
              <w:t>IFRIC 20 “Stripping costs in the Production Phase of a Surface mine”</w:t>
            </w:r>
          </w:p>
        </w:tc>
        <w:tc>
          <w:tcPr>
            <w:tcW w:w="1898" w:type="dxa"/>
            <w:vAlign w:val="bottom"/>
          </w:tcPr>
          <w:p w:rsidR="00916675" w:rsidRPr="00227C94" w:rsidRDefault="00916675" w:rsidP="000572BE">
            <w:pPr>
              <w:pStyle w:val="tblNumber01"/>
            </w:pPr>
            <w:r w:rsidRPr="00227C94">
              <w:t>1 January 2013</w:t>
            </w:r>
          </w:p>
        </w:tc>
      </w:tr>
    </w:tbl>
    <w:p w:rsidR="00916675" w:rsidRPr="00227C94" w:rsidRDefault="00916675" w:rsidP="000572BE">
      <w:pPr>
        <w:pStyle w:val="23"/>
        <w:rPr>
          <w:color w:val="auto"/>
        </w:rPr>
      </w:pPr>
    </w:p>
    <w:p w:rsidR="00916675" w:rsidRPr="00227C94" w:rsidRDefault="00916675" w:rsidP="000572BE">
      <w:pPr>
        <w:pStyle w:val="23"/>
        <w:rPr>
          <w:color w:val="auto"/>
        </w:rPr>
      </w:pPr>
    </w:p>
    <w:p w:rsidR="00916675" w:rsidRPr="00227C94" w:rsidRDefault="00916675" w:rsidP="000572BE">
      <w:pPr>
        <w:pStyle w:val="23"/>
        <w:rPr>
          <w:color w:val="auto"/>
          <w:lang w:val="en-US"/>
        </w:rPr>
      </w:pPr>
      <w:r w:rsidRPr="00227C94">
        <w:rPr>
          <w:color w:val="auto"/>
          <w:spacing w:val="-2"/>
          <w:lang w:val="en-US"/>
        </w:rPr>
        <w:t xml:space="preserve">The impact of the adoption of these standards and interpretations in the preparation of the consolidated financial statements in future periods is currently being assessed by Group’s management; however, </w:t>
      </w:r>
      <w:r w:rsidRPr="00227C94">
        <w:rPr>
          <w:color w:val="auto"/>
          <w:lang w:val="en-US"/>
        </w:rPr>
        <w:t>no material effect on the Group’s financial position or results of its operations is anticipated.</w:t>
      </w:r>
    </w:p>
    <w:p w:rsidR="00916675" w:rsidRPr="00227C94" w:rsidRDefault="00916675" w:rsidP="000572BE">
      <w:pPr>
        <w:pStyle w:val="23"/>
        <w:rPr>
          <w:color w:val="auto"/>
          <w:lang w:val="en-US"/>
        </w:rPr>
      </w:pPr>
    </w:p>
    <w:p w:rsidR="00916675" w:rsidRPr="00227C94" w:rsidRDefault="00916675" w:rsidP="000572BE">
      <w:pPr>
        <w:pStyle w:val="22"/>
        <w:rPr>
          <w:lang w:val="en-US"/>
        </w:rPr>
      </w:pPr>
      <w:r w:rsidRPr="00227C94">
        <w:rPr>
          <w:lang w:val="en-US"/>
        </w:rPr>
        <w:t>Critical accounting judgments, estimates and assumptions</w:t>
      </w:r>
    </w:p>
    <w:p w:rsidR="00916675" w:rsidRPr="00227C94" w:rsidRDefault="00916675" w:rsidP="000572BE">
      <w:pPr>
        <w:pStyle w:val="23"/>
        <w:rPr>
          <w:color w:val="auto"/>
          <w:lang w:val="en-US"/>
        </w:rPr>
      </w:pPr>
    </w:p>
    <w:p w:rsidR="00916675" w:rsidRPr="00227C94" w:rsidRDefault="00916675" w:rsidP="000572BE">
      <w:pPr>
        <w:pStyle w:val="23"/>
        <w:rPr>
          <w:color w:val="auto"/>
          <w:lang w:val="en-US"/>
        </w:rPr>
      </w:pPr>
      <w:r w:rsidRPr="00227C94">
        <w:rPr>
          <w:color w:val="auto"/>
          <w:lang w:val="en-US"/>
        </w:rPr>
        <w:t xml:space="preserve">The critical accounting judgments, estimates and assumptions made by management of the Group and applied in the accompanying condensed consolidated interim financial statements for the six </w:t>
      </w:r>
      <w:r w:rsidRPr="00227C94">
        <w:rPr>
          <w:color w:val="auto"/>
          <w:spacing w:val="-3"/>
          <w:lang w:val="en-US"/>
        </w:rPr>
        <w:t xml:space="preserve">months ended 30 June 2012 are consistent with those applied in the preparation of annual consolidated </w:t>
      </w:r>
      <w:r w:rsidRPr="00227C94">
        <w:rPr>
          <w:color w:val="auto"/>
          <w:lang w:val="en-US"/>
        </w:rPr>
        <w:t>financial statements of the Group for the year ended 31 December 2011.</w:t>
      </w:r>
    </w:p>
    <w:p w:rsidR="00916675" w:rsidRPr="00227C94" w:rsidRDefault="00916675" w:rsidP="000572BE">
      <w:pPr>
        <w:pStyle w:val="23"/>
        <w:rPr>
          <w:b/>
          <w:color w:val="auto"/>
          <w:lang w:val="en-US"/>
        </w:rPr>
      </w:pPr>
    </w:p>
    <w:p w:rsidR="00916675" w:rsidRPr="00227C94" w:rsidRDefault="00916675" w:rsidP="000572BE">
      <w:pPr>
        <w:pStyle w:val="22"/>
      </w:pPr>
      <w:r w:rsidRPr="00227C94">
        <w:t>Exchange rates</w:t>
      </w:r>
    </w:p>
    <w:p w:rsidR="00916675" w:rsidRPr="00227C94" w:rsidRDefault="00916675" w:rsidP="000572BE">
      <w:pPr>
        <w:pStyle w:val="23"/>
        <w:rPr>
          <w:color w:val="auto"/>
        </w:rPr>
      </w:pPr>
    </w:p>
    <w:p w:rsidR="00916675" w:rsidRPr="00227C94" w:rsidRDefault="00916675" w:rsidP="000572BE">
      <w:pPr>
        <w:pStyle w:val="23"/>
        <w:rPr>
          <w:color w:val="auto"/>
          <w:lang w:val="en-US"/>
        </w:rPr>
      </w:pPr>
      <w:r w:rsidRPr="00227C94">
        <w:rPr>
          <w:color w:val="auto"/>
          <w:lang w:val="en-US"/>
        </w:rPr>
        <w:t>Exchange rates used in the preparation of the condensed consolidated interim financial statements were as follows:</w:t>
      </w:r>
    </w:p>
    <w:p w:rsidR="00916675" w:rsidRPr="00227C94" w:rsidRDefault="00916675" w:rsidP="000572BE">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291505">
            <w:pPr>
              <w:pStyle w:val="tblHeaderText"/>
              <w:jc w:val="left"/>
              <w:rPr>
                <w:lang w:val="en-US"/>
              </w:rPr>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Six months ended 30 June 2012</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Six months ended 30 June 2011</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tcPr>
          <w:p w:rsidR="00916675" w:rsidRPr="00227C94" w:rsidRDefault="00916675" w:rsidP="00291505">
            <w:pPr>
              <w:pStyle w:val="tblHeaderText"/>
            </w:pPr>
            <w:r w:rsidRPr="00227C94">
              <w:t>Year ended</w:t>
            </w:r>
          </w:p>
          <w:p w:rsidR="00916675" w:rsidRPr="00227C94" w:rsidRDefault="00916675" w:rsidP="00291505">
            <w:pPr>
              <w:pStyle w:val="tblHeaderText"/>
            </w:pPr>
            <w:r w:rsidRPr="00227C94">
              <w:t>31 December 2011</w:t>
            </w:r>
          </w:p>
        </w:tc>
      </w:tr>
      <w:tr w:rsidR="00291505" w:rsidRPr="00227C94" w:rsidTr="00A701F4">
        <w:trPr>
          <w:cantSplit/>
        </w:trPr>
        <w:tc>
          <w:tcPr>
            <w:tcW w:w="4118" w:type="dxa"/>
            <w:vAlign w:val="bottom"/>
          </w:tcPr>
          <w:p w:rsidR="00291505" w:rsidRPr="00227C94" w:rsidRDefault="00291505" w:rsidP="00291505">
            <w:pPr>
              <w:pStyle w:val="tblHeaderText"/>
              <w:jc w:val="left"/>
            </w:pPr>
          </w:p>
        </w:tc>
        <w:tc>
          <w:tcPr>
            <w:tcW w:w="1417" w:type="dxa"/>
            <w:tcBorders>
              <w:top w:val="single" w:sz="6" w:space="0" w:color="auto"/>
            </w:tcBorders>
            <w:shd w:val="clear" w:color="auto" w:fill="auto"/>
            <w:vAlign w:val="bottom"/>
          </w:tcPr>
          <w:p w:rsidR="00291505" w:rsidRPr="00227C94" w:rsidRDefault="00291505" w:rsidP="00291505">
            <w:pPr>
              <w:pStyle w:val="tblHeaderText"/>
            </w:pPr>
          </w:p>
        </w:tc>
        <w:tc>
          <w:tcPr>
            <w:tcW w:w="283" w:type="dxa"/>
            <w:shd w:val="clear" w:color="auto" w:fill="auto"/>
          </w:tcPr>
          <w:p w:rsidR="00291505" w:rsidRPr="00227C94" w:rsidRDefault="00291505" w:rsidP="00291505">
            <w:pPr>
              <w:pStyle w:val="tblHeaderText"/>
            </w:pPr>
          </w:p>
        </w:tc>
        <w:tc>
          <w:tcPr>
            <w:tcW w:w="1417" w:type="dxa"/>
            <w:tcBorders>
              <w:top w:val="single" w:sz="6" w:space="0" w:color="auto"/>
            </w:tcBorders>
            <w:shd w:val="clear" w:color="auto" w:fill="auto"/>
            <w:vAlign w:val="bottom"/>
          </w:tcPr>
          <w:p w:rsidR="00291505" w:rsidRPr="00227C94" w:rsidRDefault="00291505" w:rsidP="00291505">
            <w:pPr>
              <w:pStyle w:val="tblHeaderText"/>
            </w:pPr>
          </w:p>
        </w:tc>
        <w:tc>
          <w:tcPr>
            <w:tcW w:w="283" w:type="dxa"/>
            <w:shd w:val="clear" w:color="auto" w:fill="auto"/>
          </w:tcPr>
          <w:p w:rsidR="00291505" w:rsidRPr="00227C94" w:rsidRDefault="00291505" w:rsidP="00291505">
            <w:pPr>
              <w:pStyle w:val="tblHeaderText"/>
            </w:pPr>
          </w:p>
        </w:tc>
        <w:tc>
          <w:tcPr>
            <w:tcW w:w="1417" w:type="dxa"/>
            <w:tcBorders>
              <w:top w:val="single" w:sz="6" w:space="0" w:color="auto"/>
            </w:tcBorders>
            <w:shd w:val="clear" w:color="auto" w:fill="auto"/>
          </w:tcPr>
          <w:p w:rsidR="00291505" w:rsidRPr="00227C94" w:rsidRDefault="00291505" w:rsidP="00291505">
            <w:pPr>
              <w:pStyle w:val="tblHeaderText"/>
            </w:pPr>
          </w:p>
        </w:tc>
      </w:tr>
      <w:tr w:rsidR="00916675" w:rsidRPr="00227C94" w:rsidTr="00291505">
        <w:trPr>
          <w:cantSplit/>
        </w:trPr>
        <w:tc>
          <w:tcPr>
            <w:tcW w:w="4118" w:type="dxa"/>
            <w:vAlign w:val="bottom"/>
          </w:tcPr>
          <w:p w:rsidR="00916675" w:rsidRPr="00227C94" w:rsidRDefault="00916675" w:rsidP="00291505">
            <w:pPr>
              <w:pStyle w:val="tblText02"/>
              <w:rPr>
                <w:b/>
              </w:rPr>
            </w:pPr>
            <w:r w:rsidRPr="00227C94">
              <w:rPr>
                <w:b/>
              </w:rPr>
              <w:t>Russian Rouble/US Dollar</w:t>
            </w:r>
          </w:p>
        </w:tc>
        <w:tc>
          <w:tcPr>
            <w:tcW w:w="1417" w:type="dxa"/>
            <w:shd w:val="clear" w:color="auto" w:fill="auto"/>
            <w:vAlign w:val="bottom"/>
          </w:tcPr>
          <w:p w:rsidR="00916675" w:rsidRPr="00227C94" w:rsidRDefault="00916675" w:rsidP="00291505">
            <w:pPr>
              <w:pStyle w:val="tblNumber01"/>
            </w:pPr>
          </w:p>
        </w:tc>
        <w:tc>
          <w:tcPr>
            <w:tcW w:w="28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p>
        </w:tc>
        <w:tc>
          <w:tcPr>
            <w:tcW w:w="28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vAlign w:val="bottom"/>
          </w:tcPr>
          <w:p w:rsidR="00916675" w:rsidRPr="00227C94" w:rsidRDefault="00916675" w:rsidP="00291505">
            <w:pPr>
              <w:pStyle w:val="tblText02"/>
            </w:pPr>
            <w:r w:rsidRPr="00227C94">
              <w:t>Period end rate</w:t>
            </w:r>
          </w:p>
        </w:tc>
        <w:tc>
          <w:tcPr>
            <w:tcW w:w="1417" w:type="dxa"/>
            <w:vAlign w:val="bottom"/>
          </w:tcPr>
          <w:p w:rsidR="00916675" w:rsidRPr="00227C94" w:rsidRDefault="00916675" w:rsidP="00291505">
            <w:pPr>
              <w:pStyle w:val="tblNumber01"/>
            </w:pPr>
            <w:r w:rsidRPr="00227C94">
              <w:t>32.82</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28.08</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32.20</w:t>
            </w:r>
          </w:p>
        </w:tc>
      </w:tr>
      <w:tr w:rsidR="00916675" w:rsidRPr="00227C94" w:rsidTr="00291505">
        <w:trPr>
          <w:cantSplit/>
        </w:trPr>
        <w:tc>
          <w:tcPr>
            <w:tcW w:w="4118" w:type="dxa"/>
            <w:vAlign w:val="bottom"/>
          </w:tcPr>
          <w:p w:rsidR="00916675" w:rsidRPr="00227C94" w:rsidRDefault="00916675" w:rsidP="00291505">
            <w:pPr>
              <w:pStyle w:val="tblText02"/>
            </w:pPr>
            <w:r w:rsidRPr="00227C94">
              <w:t>Average for the period</w:t>
            </w:r>
          </w:p>
        </w:tc>
        <w:tc>
          <w:tcPr>
            <w:tcW w:w="1417" w:type="dxa"/>
            <w:vAlign w:val="bottom"/>
          </w:tcPr>
          <w:p w:rsidR="00916675" w:rsidRPr="00227C94" w:rsidRDefault="00916675" w:rsidP="00291505">
            <w:pPr>
              <w:pStyle w:val="tblNumber01"/>
            </w:pPr>
            <w:r w:rsidRPr="00227C94">
              <w:t>30.64</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28.62</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29.39</w:t>
            </w:r>
          </w:p>
        </w:tc>
      </w:tr>
      <w:tr w:rsidR="00916675" w:rsidRPr="00227C94" w:rsidTr="00291505">
        <w:trPr>
          <w:cantSplit/>
        </w:trPr>
        <w:tc>
          <w:tcPr>
            <w:tcW w:w="4118" w:type="dxa"/>
            <w:vAlign w:val="bottom"/>
          </w:tcPr>
          <w:p w:rsidR="00916675" w:rsidRPr="00227C94" w:rsidRDefault="00916675" w:rsidP="00291505">
            <w:pPr>
              <w:pStyle w:val="tblText02"/>
            </w:pPr>
          </w:p>
        </w:tc>
        <w:tc>
          <w:tcPr>
            <w:tcW w:w="1417" w:type="dxa"/>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r>
      <w:tr w:rsidR="00916675" w:rsidRPr="00227C94" w:rsidTr="00291505">
        <w:trPr>
          <w:cantSplit/>
        </w:trPr>
        <w:tc>
          <w:tcPr>
            <w:tcW w:w="4118" w:type="dxa"/>
            <w:vAlign w:val="bottom"/>
          </w:tcPr>
          <w:p w:rsidR="00916675" w:rsidRPr="00227C94" w:rsidRDefault="00916675" w:rsidP="00291505">
            <w:pPr>
              <w:pStyle w:val="tblText02"/>
              <w:rPr>
                <w:b/>
              </w:rPr>
            </w:pPr>
            <w:r w:rsidRPr="00227C94">
              <w:rPr>
                <w:b/>
              </w:rPr>
              <w:t>Kazakh Tenge/US Dollar</w:t>
            </w:r>
          </w:p>
        </w:tc>
        <w:tc>
          <w:tcPr>
            <w:tcW w:w="1417" w:type="dxa"/>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r>
      <w:tr w:rsidR="00916675" w:rsidRPr="00227C94" w:rsidTr="00291505">
        <w:trPr>
          <w:cantSplit/>
        </w:trPr>
        <w:tc>
          <w:tcPr>
            <w:tcW w:w="4118" w:type="dxa"/>
            <w:vAlign w:val="bottom"/>
          </w:tcPr>
          <w:p w:rsidR="00916675" w:rsidRPr="00227C94" w:rsidRDefault="00916675" w:rsidP="00291505">
            <w:pPr>
              <w:pStyle w:val="tblText02"/>
            </w:pPr>
            <w:r w:rsidRPr="00227C94">
              <w:t>Period end rate</w:t>
            </w:r>
          </w:p>
        </w:tc>
        <w:tc>
          <w:tcPr>
            <w:tcW w:w="1417" w:type="dxa"/>
            <w:vAlign w:val="bottom"/>
          </w:tcPr>
          <w:p w:rsidR="00916675" w:rsidRPr="00227C94" w:rsidRDefault="00916675" w:rsidP="00291505">
            <w:pPr>
              <w:pStyle w:val="tblNumber01"/>
            </w:pPr>
            <w:r w:rsidRPr="00227C94">
              <w:t>149.42</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146.25</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148.40</w:t>
            </w:r>
          </w:p>
        </w:tc>
      </w:tr>
      <w:tr w:rsidR="00916675" w:rsidRPr="00227C94" w:rsidTr="00291505">
        <w:trPr>
          <w:cantSplit/>
        </w:trPr>
        <w:tc>
          <w:tcPr>
            <w:tcW w:w="4118" w:type="dxa"/>
            <w:vAlign w:val="bottom"/>
          </w:tcPr>
          <w:p w:rsidR="00916675" w:rsidRPr="00227C94" w:rsidRDefault="00916675" w:rsidP="00291505">
            <w:pPr>
              <w:pStyle w:val="tblText02"/>
            </w:pPr>
            <w:r w:rsidRPr="00227C94">
              <w:t>Average for the period</w:t>
            </w:r>
          </w:p>
        </w:tc>
        <w:tc>
          <w:tcPr>
            <w:tcW w:w="1417" w:type="dxa"/>
            <w:vAlign w:val="bottom"/>
          </w:tcPr>
          <w:p w:rsidR="00916675" w:rsidRPr="00227C94" w:rsidRDefault="00916675" w:rsidP="00291505">
            <w:pPr>
              <w:pStyle w:val="tblNumber01"/>
            </w:pPr>
            <w:r w:rsidRPr="00227C94">
              <w:t>148.15</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146.00</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146.62</w:t>
            </w:r>
          </w:p>
        </w:tc>
      </w:tr>
    </w:tbl>
    <w:p w:rsidR="00916675" w:rsidRPr="00227C94" w:rsidRDefault="00916675" w:rsidP="00291505">
      <w:pPr>
        <w:pStyle w:val="23"/>
        <w:rPr>
          <w:color w:val="auto"/>
        </w:rPr>
      </w:pPr>
    </w:p>
    <w:p w:rsidR="00916675" w:rsidRPr="00227C94" w:rsidRDefault="00916675" w:rsidP="00291505">
      <w:pPr>
        <w:pStyle w:val="23"/>
        <w:rPr>
          <w:color w:val="auto"/>
        </w:rPr>
      </w:pPr>
    </w:p>
    <w:p w:rsidR="00916675" w:rsidRPr="00227C94" w:rsidRDefault="00291505" w:rsidP="00291505">
      <w:pPr>
        <w:pStyle w:val="1"/>
      </w:pPr>
      <w:r w:rsidRPr="00227C94">
        <w:br w:type="page"/>
      </w:r>
      <w:r w:rsidR="00916675" w:rsidRPr="00227C94">
        <w:lastRenderedPageBreak/>
        <w:t>disposal of subsidiaries</w:t>
      </w:r>
    </w:p>
    <w:p w:rsidR="00916675" w:rsidRPr="00227C94" w:rsidRDefault="00916675" w:rsidP="00291505">
      <w:pPr>
        <w:pStyle w:val="23"/>
        <w:rPr>
          <w:color w:val="auto"/>
        </w:rPr>
      </w:pPr>
    </w:p>
    <w:p w:rsidR="00916675" w:rsidRPr="00227C94" w:rsidRDefault="00916675" w:rsidP="00291505">
      <w:pPr>
        <w:pStyle w:val="23"/>
        <w:rPr>
          <w:rFonts w:cs="Arial"/>
          <w:color w:val="auto"/>
          <w:szCs w:val="20"/>
          <w:shd w:val="clear" w:color="auto" w:fill="FFFFFF"/>
          <w:lang w:val="en-US"/>
        </w:rPr>
      </w:pPr>
      <w:r w:rsidRPr="00227C94">
        <w:rPr>
          <w:rFonts w:cs="Arial"/>
          <w:color w:val="auto"/>
          <w:szCs w:val="20"/>
          <w:shd w:val="clear" w:color="auto" w:fill="FFFFFF"/>
          <w:lang w:val="en-US"/>
        </w:rPr>
        <w:t>During the six months ended 30 June 2012 the following subsidiaries of the Group</w:t>
      </w:r>
    </w:p>
    <w:p w:rsidR="00916675" w:rsidRPr="00227C94" w:rsidRDefault="00916675" w:rsidP="00291505">
      <w:pPr>
        <w:pStyle w:val="23"/>
        <w:rPr>
          <w:rFonts w:cs="Arial"/>
          <w:color w:val="auto"/>
          <w:szCs w:val="20"/>
          <w:shd w:val="clear" w:color="auto" w:fill="FFFFFF"/>
          <w:lang w:val="en-US"/>
        </w:rPr>
      </w:pPr>
    </w:p>
    <w:p w:rsidR="00916675" w:rsidRPr="00227C94" w:rsidRDefault="00916675" w:rsidP="00291505">
      <w:pPr>
        <w:pStyle w:val="20"/>
        <w:rPr>
          <w:lang w:val="en-US"/>
        </w:rPr>
      </w:pPr>
      <w:r w:rsidRPr="00227C94">
        <w:rPr>
          <w:lang w:val="en-US"/>
        </w:rPr>
        <w:t>Romaltyn Mining S.R.L., Romaltyn Exploration S.R.L., Romaltyn Limited (previously attributab</w:t>
      </w:r>
      <w:r w:rsidR="00291505" w:rsidRPr="00227C94">
        <w:rPr>
          <w:lang w:val="en-US"/>
        </w:rPr>
        <w:t>le to Kazakhstan business unit);</w:t>
      </w:r>
    </w:p>
    <w:p w:rsidR="00916675" w:rsidRPr="00227C94" w:rsidRDefault="003B340C" w:rsidP="00291505">
      <w:pPr>
        <w:pStyle w:val="20"/>
        <w:rPr>
          <w:spacing w:val="-3"/>
          <w:lang w:val="en-US"/>
        </w:rPr>
      </w:pPr>
      <w:r>
        <w:rPr>
          <w:spacing w:val="-3"/>
          <w:lang w:val="en-US"/>
        </w:rPr>
        <w:t xml:space="preserve">GRK Bargold </w:t>
      </w:r>
      <w:r>
        <w:rPr>
          <w:spacing w:val="-3"/>
          <w:lang w:val="en-GB"/>
        </w:rPr>
        <w:t>L</w:t>
      </w:r>
      <w:r>
        <w:rPr>
          <w:spacing w:val="-3"/>
          <w:lang w:val="en-US"/>
        </w:rPr>
        <w:t xml:space="preserve">td and </w:t>
      </w:r>
      <w:r w:rsidR="00916675" w:rsidRPr="00227C94">
        <w:rPr>
          <w:spacing w:val="-3"/>
          <w:lang w:val="en-US"/>
        </w:rPr>
        <w:t xml:space="preserve">Yakutskoe </w:t>
      </w:r>
      <w:r>
        <w:rPr>
          <w:spacing w:val="-3"/>
          <w:lang w:val="en-US"/>
        </w:rPr>
        <w:t>GRP L</w:t>
      </w:r>
      <w:r w:rsidR="00916675" w:rsidRPr="00227C94">
        <w:rPr>
          <w:spacing w:val="-3"/>
          <w:lang w:val="en-US"/>
        </w:rPr>
        <w:t>td (previously attributable to the Exploration business unit)</w:t>
      </w:r>
      <w:r w:rsidR="00291505" w:rsidRPr="00227C94">
        <w:rPr>
          <w:spacing w:val="-3"/>
          <w:lang w:val="en-US"/>
        </w:rPr>
        <w:t>,</w:t>
      </w:r>
    </w:p>
    <w:p w:rsidR="00916675" w:rsidRPr="00227C94" w:rsidRDefault="00916675" w:rsidP="00227C94">
      <w:pPr>
        <w:pStyle w:val="23"/>
        <w:ind w:left="993"/>
        <w:rPr>
          <w:color w:val="auto"/>
          <w:shd w:val="clear" w:color="auto" w:fill="FFFFFF"/>
          <w:lang w:val="en-US"/>
        </w:rPr>
      </w:pPr>
      <w:proofErr w:type="gramStart"/>
      <w:r w:rsidRPr="00227C94">
        <w:rPr>
          <w:color w:val="auto"/>
          <w:shd w:val="clear" w:color="auto" w:fill="FFFFFF"/>
          <w:lang w:val="en-US"/>
        </w:rPr>
        <w:t>were</w:t>
      </w:r>
      <w:proofErr w:type="gramEnd"/>
      <w:r w:rsidRPr="00227C94">
        <w:rPr>
          <w:color w:val="auto"/>
          <w:shd w:val="clear" w:color="auto" w:fill="FFFFFF"/>
          <w:lang w:val="en-US"/>
        </w:rPr>
        <w:t xml:space="preserve"> sold to independent not related parties.</w:t>
      </w:r>
    </w:p>
    <w:p w:rsidR="00916675" w:rsidRPr="00227C94" w:rsidRDefault="00916675" w:rsidP="00291505">
      <w:pPr>
        <w:pStyle w:val="23"/>
        <w:rPr>
          <w:color w:val="auto"/>
          <w:shd w:val="clear" w:color="auto" w:fill="FFFFFF"/>
          <w:lang w:val="en-US"/>
        </w:rPr>
      </w:pPr>
    </w:p>
    <w:p w:rsidR="00916675" w:rsidRPr="00227C94" w:rsidRDefault="00916675" w:rsidP="00291505">
      <w:pPr>
        <w:pStyle w:val="23"/>
        <w:rPr>
          <w:color w:val="auto"/>
          <w:shd w:val="clear" w:color="auto" w:fill="FFFFFF"/>
          <w:lang w:val="en-US"/>
        </w:rPr>
      </w:pPr>
      <w:r w:rsidRPr="00227C94">
        <w:rPr>
          <w:color w:val="auto"/>
          <w:shd w:val="clear" w:color="auto" w:fill="FFFFFF"/>
          <w:lang w:val="en-US"/>
        </w:rPr>
        <w:t xml:space="preserve">Romaltyn Mining and Romaltyn Exploration (together, “the Romanian assets”) hold rights to various mining assets in Romania including a gold treatment plant with an annual processing capacity of </w:t>
      </w:r>
      <w:r w:rsidR="00291505" w:rsidRPr="00227C94">
        <w:rPr>
          <w:color w:val="auto"/>
          <w:shd w:val="clear" w:color="auto" w:fill="FFFFFF"/>
          <w:lang w:val="en-US"/>
        </w:rPr>
        <w:br/>
      </w:r>
      <w:r w:rsidRPr="00227C94">
        <w:rPr>
          <w:color w:val="auto"/>
          <w:spacing w:val="-2"/>
          <w:shd w:val="clear" w:color="auto" w:fill="FFFFFF"/>
          <w:lang w:val="en-US"/>
        </w:rPr>
        <w:t xml:space="preserve">2.5 million tonnes (currently not in operation) and a number of exploration properties. Romanian assets </w:t>
      </w:r>
      <w:r w:rsidRPr="00227C94">
        <w:rPr>
          <w:color w:val="auto"/>
          <w:shd w:val="clear" w:color="auto" w:fill="FFFFFF"/>
          <w:lang w:val="en-US"/>
        </w:rPr>
        <w:t>were acquired in 2009, together with the Group’s subsidiaries in Kazakhstan. The disposal of the Romanian assets was driven by the strategic objectives of the Group and the increased focus on our core large-scale operations.</w:t>
      </w:r>
    </w:p>
    <w:p w:rsidR="00916675" w:rsidRPr="00227C94" w:rsidRDefault="00916675" w:rsidP="00291505">
      <w:pPr>
        <w:pStyle w:val="23"/>
        <w:rPr>
          <w:color w:val="auto"/>
          <w:shd w:val="clear" w:color="auto" w:fill="FFFFFF"/>
          <w:lang w:val="en-US"/>
        </w:rPr>
      </w:pPr>
    </w:p>
    <w:p w:rsidR="00916675" w:rsidRPr="00227C94" w:rsidRDefault="003B340C" w:rsidP="00291505">
      <w:pPr>
        <w:pStyle w:val="23"/>
        <w:rPr>
          <w:color w:val="auto"/>
          <w:shd w:val="clear" w:color="auto" w:fill="FFFFFF"/>
          <w:lang w:val="en-US"/>
        </w:rPr>
      </w:pPr>
      <w:r>
        <w:rPr>
          <w:color w:val="auto"/>
          <w:spacing w:val="-2"/>
          <w:shd w:val="clear" w:color="auto" w:fill="FFFFFF"/>
          <w:lang w:val="en-US"/>
        </w:rPr>
        <w:t xml:space="preserve">GRK </w:t>
      </w:r>
      <w:r w:rsidR="00916675" w:rsidRPr="00227C94">
        <w:rPr>
          <w:color w:val="auto"/>
          <w:spacing w:val="-2"/>
          <w:shd w:val="clear" w:color="auto" w:fill="FFFFFF"/>
          <w:lang w:val="en-US"/>
        </w:rPr>
        <w:t xml:space="preserve">Bargold and Yakutskoe GRP hold rights to a number of exploration properties in Russia. The Group’s </w:t>
      </w:r>
      <w:r w:rsidR="00916675" w:rsidRPr="00227C94">
        <w:rPr>
          <w:color w:val="auto"/>
          <w:shd w:val="clear" w:color="auto" w:fill="FFFFFF"/>
          <w:lang w:val="en-US"/>
        </w:rPr>
        <w:t xml:space="preserve">investment in </w:t>
      </w:r>
      <w:r>
        <w:rPr>
          <w:color w:val="auto"/>
          <w:shd w:val="clear" w:color="auto" w:fill="FFFFFF"/>
          <w:lang w:val="en-US"/>
        </w:rPr>
        <w:t xml:space="preserve">GRK </w:t>
      </w:r>
      <w:r w:rsidR="00916675" w:rsidRPr="00227C94">
        <w:rPr>
          <w:color w:val="auto"/>
          <w:shd w:val="clear" w:color="auto" w:fill="FFFFFF"/>
          <w:lang w:val="en-US"/>
        </w:rPr>
        <w:t>Bargold was fully impaired during the year ended 31 December 2011.</w:t>
      </w:r>
    </w:p>
    <w:p w:rsidR="00916675" w:rsidRPr="00227C94" w:rsidRDefault="00916675" w:rsidP="00291505">
      <w:pPr>
        <w:pStyle w:val="23"/>
        <w:rPr>
          <w:color w:val="auto"/>
          <w:shd w:val="clear" w:color="auto" w:fill="FFFFFF"/>
          <w:lang w:val="en-US"/>
        </w:rPr>
      </w:pPr>
    </w:p>
    <w:p w:rsidR="00916675" w:rsidRPr="00227C94" w:rsidRDefault="00916675" w:rsidP="00291505">
      <w:pPr>
        <w:pStyle w:val="23"/>
        <w:rPr>
          <w:color w:val="auto"/>
          <w:shd w:val="clear" w:color="auto" w:fill="FFFFFF"/>
          <w:lang w:val="en-US"/>
        </w:rPr>
      </w:pPr>
      <w:r w:rsidRPr="00227C94">
        <w:rPr>
          <w:color w:val="auto"/>
          <w:shd w:val="clear" w:color="auto" w:fill="FFFFFF"/>
          <w:lang w:val="en-US"/>
        </w:rPr>
        <w:t>There were no contingent liabilities or deferred consideration applicable to the sale. All the proceeds were received in cash.</w:t>
      </w:r>
    </w:p>
    <w:p w:rsidR="00916675" w:rsidRPr="00227C94" w:rsidRDefault="00916675" w:rsidP="00291505">
      <w:pPr>
        <w:pStyle w:val="23"/>
        <w:rPr>
          <w:b/>
          <w:color w:val="auto"/>
          <w:sz w:val="24"/>
          <w:lang w:val="en-US"/>
        </w:rPr>
      </w:pPr>
    </w:p>
    <w:p w:rsidR="00916675" w:rsidRPr="00227C94" w:rsidRDefault="00916675" w:rsidP="00291505">
      <w:pPr>
        <w:pStyle w:val="23"/>
        <w:rPr>
          <w:color w:val="auto"/>
          <w:shd w:val="clear" w:color="auto" w:fill="FFFFFF"/>
          <w:lang w:val="en-US"/>
        </w:rPr>
      </w:pPr>
      <w:r w:rsidRPr="00227C94">
        <w:rPr>
          <w:color w:val="auto"/>
          <w:shd w:val="clear" w:color="auto" w:fill="FFFFFF"/>
          <w:lang w:val="en-US"/>
        </w:rPr>
        <w:t>The following assets and liabilities were disposed during the six months ended 30 June 2012:</w:t>
      </w:r>
    </w:p>
    <w:p w:rsidR="00916675" w:rsidRPr="00227C94" w:rsidRDefault="00916675" w:rsidP="00291505">
      <w:pPr>
        <w:pStyle w:val="23"/>
        <w:rPr>
          <w:color w:val="auto"/>
          <w:lang w:val="en-US"/>
        </w:rPr>
      </w:pPr>
    </w:p>
    <w:tbl>
      <w:tblPr>
        <w:tblW w:w="8935" w:type="dxa"/>
        <w:tblInd w:w="476" w:type="dxa"/>
        <w:tblLayout w:type="fixed"/>
        <w:tblCellMar>
          <w:left w:w="0" w:type="dxa"/>
          <w:right w:w="0" w:type="dxa"/>
        </w:tblCellMar>
        <w:tblLook w:val="04A0" w:firstRow="1" w:lastRow="0" w:firstColumn="1" w:lastColumn="0" w:noHBand="0" w:noVBand="1"/>
      </w:tblPr>
      <w:tblGrid>
        <w:gridCol w:w="4118"/>
        <w:gridCol w:w="1417"/>
        <w:gridCol w:w="283"/>
        <w:gridCol w:w="1417"/>
        <w:gridCol w:w="283"/>
        <w:gridCol w:w="1417"/>
      </w:tblGrid>
      <w:tr w:rsidR="00916675" w:rsidRPr="00227C94" w:rsidTr="00A701F4">
        <w:trPr>
          <w:cantSplit/>
        </w:trPr>
        <w:tc>
          <w:tcPr>
            <w:tcW w:w="4118" w:type="dxa"/>
            <w:shd w:val="clear" w:color="auto" w:fill="auto"/>
            <w:vAlign w:val="bottom"/>
          </w:tcPr>
          <w:p w:rsidR="00916675" w:rsidRPr="00227C94" w:rsidRDefault="00916675" w:rsidP="00291505">
            <w:pPr>
              <w:pStyle w:val="tblHeaderText"/>
              <w:jc w:val="left"/>
              <w:rPr>
                <w:lang w:val="en-US"/>
              </w:rPr>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Romanian assets</w:t>
            </w:r>
          </w:p>
        </w:tc>
        <w:tc>
          <w:tcPr>
            <w:tcW w:w="283" w:type="dxa"/>
            <w:shd w:val="clear" w:color="auto" w:fill="auto"/>
            <w:vAlign w:val="bottom"/>
          </w:tcPr>
          <w:p w:rsidR="00916675" w:rsidRPr="00227C94" w:rsidRDefault="00916675" w:rsidP="00291505">
            <w:pPr>
              <w:pStyle w:val="tblHeaderText"/>
            </w:pPr>
          </w:p>
        </w:tc>
        <w:tc>
          <w:tcPr>
            <w:tcW w:w="1417" w:type="dxa"/>
            <w:tcBorders>
              <w:bottom w:val="single" w:sz="6" w:space="0" w:color="auto"/>
            </w:tcBorders>
            <w:shd w:val="clear" w:color="auto" w:fill="auto"/>
            <w:vAlign w:val="bottom"/>
          </w:tcPr>
          <w:p w:rsidR="00916675" w:rsidRPr="00227C94" w:rsidRDefault="003B340C" w:rsidP="00291505">
            <w:pPr>
              <w:pStyle w:val="tblHeaderText"/>
              <w:rPr>
                <w:lang w:val="en-US"/>
              </w:rPr>
            </w:pPr>
            <w:r>
              <w:rPr>
                <w:lang w:val="en-US"/>
              </w:rPr>
              <w:t xml:space="preserve">GRK </w:t>
            </w:r>
            <w:r w:rsidR="00916675" w:rsidRPr="00227C94">
              <w:rPr>
                <w:lang w:val="en-US"/>
              </w:rPr>
              <w:t>Bargold and Yakutskoe GRP assets</w:t>
            </w:r>
          </w:p>
        </w:tc>
        <w:tc>
          <w:tcPr>
            <w:tcW w:w="283" w:type="dxa"/>
            <w:shd w:val="clear" w:color="auto" w:fill="auto"/>
            <w:vAlign w:val="bottom"/>
          </w:tcPr>
          <w:p w:rsidR="00916675" w:rsidRPr="00227C94" w:rsidRDefault="00916675" w:rsidP="00291505">
            <w:pPr>
              <w:pStyle w:val="tblHeaderText"/>
              <w:rPr>
                <w:lang w:val="en-US"/>
              </w:rPr>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Total</w:t>
            </w:r>
          </w:p>
        </w:tc>
      </w:tr>
      <w:tr w:rsidR="00916675" w:rsidRPr="00227C94" w:rsidTr="00291505">
        <w:trPr>
          <w:cantSplit/>
        </w:trPr>
        <w:tc>
          <w:tcPr>
            <w:tcW w:w="4118" w:type="dxa"/>
            <w:shd w:val="clear" w:color="auto" w:fill="auto"/>
            <w:vAlign w:val="bottom"/>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shd w:val="clear" w:color="auto" w:fill="auto"/>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shd w:val="clear" w:color="auto" w:fill="auto"/>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shd w:val="clear" w:color="auto" w:fill="auto"/>
            <w:vAlign w:val="bottom"/>
          </w:tcPr>
          <w:p w:rsidR="00916675" w:rsidRPr="00227C94" w:rsidRDefault="00916675" w:rsidP="00291505">
            <w:pPr>
              <w:pStyle w:val="tblText02"/>
            </w:pPr>
            <w:r w:rsidRPr="00227C94">
              <w:t>Property, plant and equipment</w:t>
            </w:r>
          </w:p>
        </w:tc>
        <w:tc>
          <w:tcPr>
            <w:tcW w:w="1417" w:type="dxa"/>
            <w:shd w:val="clear" w:color="auto" w:fill="auto"/>
            <w:vAlign w:val="bottom"/>
          </w:tcPr>
          <w:p w:rsidR="00916675" w:rsidRPr="00227C94" w:rsidRDefault="00916675" w:rsidP="00291505">
            <w:pPr>
              <w:pStyle w:val="tblNumber01"/>
            </w:pPr>
            <w:r w:rsidRPr="00227C94">
              <w:t>16,344</w:t>
            </w:r>
          </w:p>
        </w:tc>
        <w:tc>
          <w:tcPr>
            <w:tcW w:w="28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16,344</w:t>
            </w:r>
          </w:p>
        </w:tc>
      </w:tr>
      <w:tr w:rsidR="00916675" w:rsidRPr="00227C94" w:rsidTr="00291505">
        <w:trPr>
          <w:cantSplit/>
        </w:trPr>
        <w:tc>
          <w:tcPr>
            <w:tcW w:w="4118" w:type="dxa"/>
            <w:shd w:val="clear" w:color="auto" w:fill="auto"/>
          </w:tcPr>
          <w:p w:rsidR="00916675" w:rsidRPr="00227C94" w:rsidRDefault="00916675" w:rsidP="00291505">
            <w:pPr>
              <w:pStyle w:val="tblText02"/>
            </w:pPr>
            <w:r w:rsidRPr="00227C94">
              <w:t>Exploration and evaluation assets</w:t>
            </w:r>
          </w:p>
        </w:tc>
        <w:tc>
          <w:tcPr>
            <w:tcW w:w="1417" w:type="dxa"/>
            <w:shd w:val="clear" w:color="auto" w:fill="auto"/>
            <w:vAlign w:val="bottom"/>
          </w:tcPr>
          <w:p w:rsidR="00916675" w:rsidRPr="00227C94" w:rsidRDefault="00916675" w:rsidP="00291505">
            <w:pPr>
              <w:pStyle w:val="tblNumber01"/>
            </w:pPr>
            <w:r w:rsidRPr="00227C94">
              <w:t>3,880</w:t>
            </w:r>
          </w:p>
        </w:tc>
        <w:tc>
          <w:tcPr>
            <w:tcW w:w="28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r w:rsidRPr="00227C94">
              <w:t>544</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4,424</w:t>
            </w:r>
          </w:p>
        </w:tc>
      </w:tr>
      <w:tr w:rsidR="00916675" w:rsidRPr="00227C94" w:rsidTr="00291505">
        <w:trPr>
          <w:cantSplit/>
        </w:trPr>
        <w:tc>
          <w:tcPr>
            <w:tcW w:w="4118" w:type="dxa"/>
            <w:shd w:val="clear" w:color="auto" w:fill="auto"/>
            <w:vAlign w:val="bottom"/>
          </w:tcPr>
          <w:p w:rsidR="00916675" w:rsidRPr="00227C94" w:rsidRDefault="00916675" w:rsidP="00291505">
            <w:pPr>
              <w:pStyle w:val="tblText02"/>
            </w:pPr>
            <w:r w:rsidRPr="00227C94">
              <w:t>Cash</w:t>
            </w:r>
          </w:p>
        </w:tc>
        <w:tc>
          <w:tcPr>
            <w:tcW w:w="1417" w:type="dxa"/>
            <w:shd w:val="clear" w:color="auto" w:fill="auto"/>
            <w:vAlign w:val="bottom"/>
          </w:tcPr>
          <w:p w:rsidR="00916675" w:rsidRPr="00227C94" w:rsidRDefault="00916675" w:rsidP="00291505">
            <w:pPr>
              <w:pStyle w:val="tblNumber01"/>
            </w:pPr>
            <w:r w:rsidRPr="00227C94">
              <w:t>572</w:t>
            </w:r>
          </w:p>
        </w:tc>
        <w:tc>
          <w:tcPr>
            <w:tcW w:w="28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r w:rsidRPr="00227C94">
              <w:t>686</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1,258</w:t>
            </w:r>
          </w:p>
        </w:tc>
      </w:tr>
      <w:tr w:rsidR="00916675" w:rsidRPr="00227C94" w:rsidTr="00291505">
        <w:trPr>
          <w:cantSplit/>
        </w:trPr>
        <w:tc>
          <w:tcPr>
            <w:tcW w:w="4118" w:type="dxa"/>
            <w:shd w:val="clear" w:color="auto" w:fill="auto"/>
            <w:vAlign w:val="bottom"/>
          </w:tcPr>
          <w:p w:rsidR="00916675" w:rsidRPr="00227C94" w:rsidRDefault="00916675" w:rsidP="00291505">
            <w:pPr>
              <w:pStyle w:val="tblText02"/>
            </w:pPr>
            <w:r w:rsidRPr="00227C94">
              <w:t>Other assets</w:t>
            </w:r>
          </w:p>
        </w:tc>
        <w:tc>
          <w:tcPr>
            <w:tcW w:w="1417" w:type="dxa"/>
            <w:shd w:val="clear" w:color="auto" w:fill="auto"/>
            <w:vAlign w:val="bottom"/>
          </w:tcPr>
          <w:p w:rsidR="00916675" w:rsidRPr="00227C94" w:rsidRDefault="00916675" w:rsidP="00291505">
            <w:pPr>
              <w:pStyle w:val="tblNumber01"/>
            </w:pPr>
            <w:r w:rsidRPr="00227C94">
              <w:t>900</w:t>
            </w:r>
          </w:p>
        </w:tc>
        <w:tc>
          <w:tcPr>
            <w:tcW w:w="28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r w:rsidRPr="00227C94">
              <w:t>18</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918</w:t>
            </w:r>
          </w:p>
        </w:tc>
      </w:tr>
      <w:tr w:rsidR="00916675" w:rsidRPr="00227C94" w:rsidTr="00A701F4">
        <w:trPr>
          <w:cantSplit/>
        </w:trPr>
        <w:tc>
          <w:tcPr>
            <w:tcW w:w="4118" w:type="dxa"/>
            <w:shd w:val="clear" w:color="auto" w:fill="auto"/>
            <w:vAlign w:val="bottom"/>
          </w:tcPr>
          <w:p w:rsidR="00916675" w:rsidRPr="00227C94" w:rsidRDefault="00916675" w:rsidP="00291505">
            <w:pPr>
              <w:pStyle w:val="tblText02"/>
              <w:rPr>
                <w:lang w:val="en-US"/>
              </w:rPr>
            </w:pPr>
            <w:r w:rsidRPr="00227C94">
              <w:rPr>
                <w:lang w:val="en-US"/>
              </w:rPr>
              <w:t>Site restoration and environmental obligations</w:t>
            </w:r>
          </w:p>
        </w:tc>
        <w:tc>
          <w:tcPr>
            <w:tcW w:w="1417" w:type="dxa"/>
            <w:shd w:val="clear" w:color="auto" w:fill="auto"/>
            <w:vAlign w:val="bottom"/>
          </w:tcPr>
          <w:p w:rsidR="00916675" w:rsidRPr="00227C94" w:rsidRDefault="00916675" w:rsidP="00291505">
            <w:pPr>
              <w:pStyle w:val="tblNumber00"/>
            </w:pPr>
            <w:r w:rsidRPr="00227C94">
              <w:t>(5,022)</w:t>
            </w:r>
          </w:p>
        </w:tc>
        <w:tc>
          <w:tcPr>
            <w:tcW w:w="28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(5,022)</w:t>
            </w:r>
          </w:p>
        </w:tc>
      </w:tr>
      <w:tr w:rsidR="00916675" w:rsidRPr="00227C94" w:rsidTr="00A701F4">
        <w:trPr>
          <w:cantSplit/>
        </w:trPr>
        <w:tc>
          <w:tcPr>
            <w:tcW w:w="4118" w:type="dxa"/>
            <w:shd w:val="clear" w:color="auto" w:fill="auto"/>
            <w:vAlign w:val="bottom"/>
          </w:tcPr>
          <w:p w:rsidR="00916675" w:rsidRPr="00227C94" w:rsidRDefault="00916675" w:rsidP="00291505">
            <w:pPr>
              <w:pStyle w:val="tblText02"/>
            </w:pPr>
            <w:r w:rsidRPr="00227C94">
              <w:t>Other liabilities</w:t>
            </w: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(1,947)</w:t>
            </w:r>
          </w:p>
        </w:tc>
        <w:tc>
          <w:tcPr>
            <w:tcW w:w="283" w:type="dxa"/>
            <w:shd w:val="clear" w:color="auto" w:fill="auto"/>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(12)</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(1,959)</w:t>
            </w:r>
          </w:p>
        </w:tc>
      </w:tr>
      <w:tr w:rsidR="00916675" w:rsidRPr="00227C94" w:rsidTr="00291505">
        <w:trPr>
          <w:cantSplit/>
        </w:trPr>
        <w:tc>
          <w:tcPr>
            <w:tcW w:w="4118" w:type="dxa"/>
            <w:shd w:val="clear" w:color="auto" w:fill="auto"/>
            <w:vAlign w:val="bottom"/>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shd w:val="clear" w:color="auto" w:fill="auto"/>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A701F4">
        <w:trPr>
          <w:cantSplit/>
        </w:trPr>
        <w:tc>
          <w:tcPr>
            <w:tcW w:w="4118" w:type="dxa"/>
            <w:shd w:val="clear" w:color="auto" w:fill="auto"/>
            <w:vAlign w:val="bottom"/>
          </w:tcPr>
          <w:p w:rsidR="00916675" w:rsidRPr="00227C94" w:rsidRDefault="00916675" w:rsidP="00291505">
            <w:pPr>
              <w:pStyle w:val="tblText02"/>
              <w:rPr>
                <w:b/>
              </w:rPr>
            </w:pPr>
            <w:r w:rsidRPr="00227C94">
              <w:rPr>
                <w:b/>
              </w:rPr>
              <w:t>Total net assets disposed</w:t>
            </w:r>
          </w:p>
        </w:tc>
        <w:tc>
          <w:tcPr>
            <w:tcW w:w="1417" w:type="dxa"/>
            <w:shd w:val="clear" w:color="auto" w:fill="auto"/>
            <w:vAlign w:val="bottom"/>
          </w:tcPr>
          <w:p w:rsidR="00916675" w:rsidRPr="00227C94" w:rsidRDefault="00916675" w:rsidP="00291505">
            <w:pPr>
              <w:pStyle w:val="tblNumber01"/>
              <w:rPr>
                <w:b/>
              </w:rPr>
            </w:pPr>
            <w:r w:rsidRPr="00227C94">
              <w:rPr>
                <w:b/>
              </w:rPr>
              <w:t>14,727</w:t>
            </w:r>
          </w:p>
        </w:tc>
        <w:tc>
          <w:tcPr>
            <w:tcW w:w="28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rPr>
                <w:b/>
              </w:rPr>
            </w:pPr>
            <w:r w:rsidRPr="00227C94">
              <w:rPr>
                <w:b/>
              </w:rPr>
              <w:t>1,236</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rPr>
                <w:b/>
              </w:rPr>
            </w:pPr>
            <w:r w:rsidRPr="00227C94">
              <w:rPr>
                <w:b/>
              </w:rPr>
              <w:t>15,963</w:t>
            </w:r>
          </w:p>
        </w:tc>
      </w:tr>
      <w:tr w:rsidR="00916675" w:rsidRPr="00227C94" w:rsidTr="00A701F4">
        <w:trPr>
          <w:cantSplit/>
        </w:trPr>
        <w:tc>
          <w:tcPr>
            <w:tcW w:w="4118" w:type="dxa"/>
            <w:shd w:val="clear" w:color="auto" w:fill="auto"/>
            <w:vAlign w:val="bottom"/>
          </w:tcPr>
          <w:p w:rsidR="00916675" w:rsidRPr="00227C94" w:rsidRDefault="00916675" w:rsidP="00291505">
            <w:pPr>
              <w:pStyle w:val="tblText02"/>
            </w:pPr>
            <w:r w:rsidRPr="00227C94">
              <w:t>Proceeds</w:t>
            </w: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20,000</w:t>
            </w:r>
          </w:p>
        </w:tc>
        <w:tc>
          <w:tcPr>
            <w:tcW w:w="283" w:type="dxa"/>
            <w:shd w:val="clear" w:color="auto" w:fill="auto"/>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2,231</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22,231</w:t>
            </w:r>
          </w:p>
        </w:tc>
      </w:tr>
      <w:tr w:rsidR="00916675" w:rsidRPr="00227C94" w:rsidTr="00A701F4">
        <w:trPr>
          <w:cantSplit/>
        </w:trPr>
        <w:tc>
          <w:tcPr>
            <w:tcW w:w="4118" w:type="dxa"/>
            <w:shd w:val="clear" w:color="auto" w:fill="auto"/>
            <w:vAlign w:val="bottom"/>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shd w:val="clear" w:color="auto" w:fill="auto"/>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shd w:val="clear" w:color="auto" w:fill="auto"/>
            <w:vAlign w:val="bottom"/>
          </w:tcPr>
          <w:p w:rsidR="00916675" w:rsidRPr="00227C94" w:rsidRDefault="00916675" w:rsidP="00291505">
            <w:pPr>
              <w:pStyle w:val="tblText02"/>
              <w:rPr>
                <w:b/>
              </w:rPr>
            </w:pPr>
            <w:r w:rsidRPr="00227C94">
              <w:rPr>
                <w:b/>
              </w:rPr>
              <w:t>Gain on disposal</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5,273</w:t>
            </w:r>
          </w:p>
        </w:tc>
        <w:tc>
          <w:tcPr>
            <w:tcW w:w="283" w:type="dxa"/>
            <w:shd w:val="clear" w:color="auto" w:fill="auto"/>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995</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6,268</w:t>
            </w:r>
          </w:p>
        </w:tc>
      </w:tr>
    </w:tbl>
    <w:p w:rsidR="00916675" w:rsidRPr="00227C94" w:rsidRDefault="00916675" w:rsidP="00291505">
      <w:pPr>
        <w:pStyle w:val="23"/>
        <w:rPr>
          <w:color w:val="auto"/>
        </w:rPr>
      </w:pPr>
    </w:p>
    <w:p w:rsidR="00916675" w:rsidRPr="00227C94" w:rsidRDefault="00916675" w:rsidP="00291505">
      <w:pPr>
        <w:pStyle w:val="23"/>
        <w:rPr>
          <w:color w:val="auto"/>
          <w:lang w:val="en-US"/>
        </w:rPr>
      </w:pPr>
    </w:p>
    <w:p w:rsidR="00916675" w:rsidRPr="00227C94" w:rsidRDefault="00291505" w:rsidP="00916675">
      <w:pPr>
        <w:pStyle w:val="1"/>
        <w:rPr>
          <w:lang w:val="en-US"/>
        </w:rPr>
      </w:pPr>
      <w:r w:rsidRPr="00227C94">
        <w:rPr>
          <w:lang w:val="en-US"/>
        </w:rPr>
        <w:br w:type="page"/>
      </w:r>
      <w:r w:rsidR="00916675" w:rsidRPr="00227C94">
        <w:rPr>
          <w:lang w:val="en-US"/>
        </w:rPr>
        <w:lastRenderedPageBreak/>
        <w:t>segment information</w:t>
      </w:r>
    </w:p>
    <w:p w:rsidR="00916675" w:rsidRPr="00227C94" w:rsidRDefault="00916675" w:rsidP="00291505">
      <w:pPr>
        <w:pStyle w:val="23"/>
        <w:rPr>
          <w:color w:val="auto"/>
        </w:rPr>
      </w:pPr>
    </w:p>
    <w:p w:rsidR="00916675" w:rsidRPr="00227C94" w:rsidRDefault="00916675" w:rsidP="00291505">
      <w:pPr>
        <w:pStyle w:val="23"/>
        <w:rPr>
          <w:color w:val="auto"/>
          <w:lang w:val="en-US"/>
        </w:rPr>
      </w:pPr>
      <w:r w:rsidRPr="00227C94">
        <w:rPr>
          <w:color w:val="auto"/>
          <w:lang w:val="en-US"/>
        </w:rPr>
        <w:t xml:space="preserve">For management purposes, the Group is organised in separate business segments defined by </w:t>
      </w:r>
      <w:r w:rsidR="00291505" w:rsidRPr="00227C94">
        <w:rPr>
          <w:color w:val="auto"/>
          <w:lang w:val="en-US"/>
        </w:rPr>
        <w:br/>
      </w:r>
      <w:r w:rsidRPr="00227C94">
        <w:rPr>
          <w:color w:val="auto"/>
          <w:spacing w:val="-2"/>
          <w:lang w:val="en-US"/>
        </w:rPr>
        <w:t xml:space="preserve">a combination of operating activities and geographical area. Separate financial information is available </w:t>
      </w:r>
      <w:r w:rsidRPr="00227C94">
        <w:rPr>
          <w:color w:val="auto"/>
          <w:lang w:val="en-US"/>
        </w:rPr>
        <w:t>for each segment and reported regularly to the chief operating decision maker (“CODM”) and the Executive Committee. The Group’s seven identified reportable segments are located and described as follows:</w:t>
      </w:r>
    </w:p>
    <w:p w:rsidR="00916675" w:rsidRPr="00227C94" w:rsidRDefault="00916675" w:rsidP="00291505">
      <w:pPr>
        <w:pStyle w:val="23"/>
        <w:rPr>
          <w:color w:val="auto"/>
          <w:lang w:val="en-US"/>
        </w:rPr>
      </w:pPr>
    </w:p>
    <w:p w:rsidR="00916675" w:rsidRPr="00227C94" w:rsidRDefault="00916675" w:rsidP="00291505">
      <w:pPr>
        <w:pStyle w:val="20"/>
        <w:rPr>
          <w:lang w:val="en-US"/>
        </w:rPr>
      </w:pPr>
      <w:r w:rsidRPr="00227C94">
        <w:rPr>
          <w:b/>
          <w:i/>
          <w:lang w:val="en-US"/>
        </w:rPr>
        <w:t xml:space="preserve">Krasnoyarsk business unit </w:t>
      </w:r>
      <w:r w:rsidRPr="00227C94">
        <w:rPr>
          <w:lang w:val="en-US"/>
        </w:rPr>
        <w:t>(Krasnoyarsk region of the Russian Federation) – Extraction, refining and sales of gold from the Olimpiada, Blagodatnoe and Titimukhta mines, as well as research, exploration and development work at Olimpiada deposits;</w:t>
      </w:r>
    </w:p>
    <w:p w:rsidR="00916675" w:rsidRPr="00227C94" w:rsidRDefault="00916675" w:rsidP="00291505">
      <w:pPr>
        <w:pStyle w:val="20"/>
        <w:rPr>
          <w:lang w:val="en-US"/>
        </w:rPr>
      </w:pPr>
      <w:r w:rsidRPr="00227C94">
        <w:rPr>
          <w:b/>
          <w:i/>
          <w:lang w:val="en-US"/>
        </w:rPr>
        <w:t xml:space="preserve">Kazakhstan business unit </w:t>
      </w:r>
      <w:r w:rsidRPr="00227C94">
        <w:rPr>
          <w:lang w:val="en-US"/>
        </w:rPr>
        <w:t>(Republic of Kazakhstan and Kyrgyzstan), formed by the Kazakh Gold Group Limited – Extraction, refining and sales of gold from Aksu, Bestobe, Akzhal, Zholymbet mines, as well as exploration and evaluation works in Southern Karaultube;</w:t>
      </w:r>
    </w:p>
    <w:p w:rsidR="00916675" w:rsidRPr="00227C94" w:rsidRDefault="00916675" w:rsidP="00291505">
      <w:pPr>
        <w:pStyle w:val="20"/>
        <w:rPr>
          <w:lang w:val="en-US"/>
        </w:rPr>
      </w:pPr>
      <w:r w:rsidRPr="00227C94">
        <w:rPr>
          <w:b/>
          <w:i/>
          <w:lang w:val="en-US"/>
        </w:rPr>
        <w:t xml:space="preserve">Irkutsk alluvial business unit </w:t>
      </w:r>
      <w:r w:rsidRPr="00227C94">
        <w:rPr>
          <w:lang w:val="en-US"/>
        </w:rPr>
        <w:t>(Irkutsk region, Bodaibo district of the Russian Federation) – Extraction, refining and sales of gold from several alluvial deposits;</w:t>
      </w:r>
    </w:p>
    <w:p w:rsidR="00916675" w:rsidRPr="00227C94" w:rsidRDefault="00916675" w:rsidP="00291505">
      <w:pPr>
        <w:pStyle w:val="20"/>
        <w:rPr>
          <w:lang w:val="en-US"/>
        </w:rPr>
      </w:pPr>
      <w:r w:rsidRPr="00227C94">
        <w:rPr>
          <w:b/>
          <w:i/>
          <w:lang w:val="en-US"/>
        </w:rPr>
        <w:t xml:space="preserve">Irkutsk ore business unit </w:t>
      </w:r>
      <w:r w:rsidRPr="00227C94">
        <w:rPr>
          <w:lang w:val="en-US"/>
        </w:rPr>
        <w:t>(Irkutsk region, Bodaibo district of the Russian Federation) – Extraction, refining and sales of gold from Verninskoe, research, exploration and development works at Pervenetc, Verninskoe and Medvezhiy Ruchei deposits, and electricity and utilities production and sales in the Bodaibo district of the Irkutsk region;</w:t>
      </w:r>
    </w:p>
    <w:p w:rsidR="00916675" w:rsidRPr="00227C94" w:rsidRDefault="00916675" w:rsidP="00291505">
      <w:pPr>
        <w:pStyle w:val="20"/>
        <w:rPr>
          <w:lang w:val="en-US"/>
        </w:rPr>
      </w:pPr>
      <w:r w:rsidRPr="00227C94">
        <w:rPr>
          <w:b/>
          <w:i/>
          <w:lang w:val="en-US"/>
        </w:rPr>
        <w:t xml:space="preserve">Yakutsk Kuranakh business unit </w:t>
      </w:r>
      <w:r w:rsidRPr="00227C94">
        <w:rPr>
          <w:lang w:val="en-US"/>
        </w:rPr>
        <w:t>(Sakha Republic of the Russian Federation) – Extraction, refining and sales of gold from the Kuranakh ore field;</w:t>
      </w:r>
    </w:p>
    <w:p w:rsidR="00916675" w:rsidRPr="00227C94" w:rsidRDefault="00916675" w:rsidP="00291505">
      <w:pPr>
        <w:pStyle w:val="20"/>
        <w:rPr>
          <w:lang w:val="en-US"/>
        </w:rPr>
      </w:pPr>
      <w:r w:rsidRPr="00227C94">
        <w:rPr>
          <w:b/>
          <w:i/>
          <w:lang w:val="en-US"/>
        </w:rPr>
        <w:t>Exploration business unit</w:t>
      </w:r>
      <w:r w:rsidRPr="00227C94">
        <w:rPr>
          <w:lang w:val="en-US"/>
        </w:rPr>
        <w:t xml:space="preserve"> – Comprising two operating segments that are combined into one reportable segment as they satisfy the criteria for aggregation:</w:t>
      </w:r>
    </w:p>
    <w:p w:rsidR="00916675" w:rsidRPr="00227C94" w:rsidRDefault="00916675" w:rsidP="00291505">
      <w:pPr>
        <w:pStyle w:val="30"/>
        <w:rPr>
          <w:spacing w:val="-2"/>
          <w:lang w:val="en-US"/>
        </w:rPr>
      </w:pPr>
      <w:r w:rsidRPr="00227C94">
        <w:rPr>
          <w:spacing w:val="-2"/>
          <w:lang w:val="en-US"/>
        </w:rPr>
        <w:t>Yakutsk (Nezhdaninskoe) business unit (Sakha Republic of Russian Federation) – Research and exploration works at the Nezhdaninskoe deposit; and</w:t>
      </w:r>
    </w:p>
    <w:p w:rsidR="00916675" w:rsidRPr="00227C94" w:rsidRDefault="00916675" w:rsidP="00291505">
      <w:pPr>
        <w:pStyle w:val="30"/>
        <w:rPr>
          <w:lang w:val="en-US"/>
        </w:rPr>
      </w:pPr>
      <w:r w:rsidRPr="00227C94">
        <w:rPr>
          <w:lang w:val="en-US"/>
        </w:rPr>
        <w:t>(Krasnoyarsk region, Irkutsk region, Amur region, and others) – Research and exploration works in several regions of the Russian Federation; and</w:t>
      </w:r>
    </w:p>
    <w:p w:rsidR="00916675" w:rsidRPr="00227C94" w:rsidRDefault="00916675" w:rsidP="00291505">
      <w:pPr>
        <w:pStyle w:val="20"/>
        <w:rPr>
          <w:lang w:val="en-US"/>
        </w:rPr>
      </w:pPr>
      <w:r w:rsidRPr="00227C94">
        <w:rPr>
          <w:b/>
          <w:i/>
          <w:lang w:val="en-US"/>
        </w:rPr>
        <w:t xml:space="preserve">Magadan business unit </w:t>
      </w:r>
      <w:r w:rsidRPr="00227C94">
        <w:rPr>
          <w:lang w:val="en-US"/>
        </w:rPr>
        <w:t xml:space="preserve">(Magadan region of the Russian Federation) – Represented by </w:t>
      </w:r>
      <w:r w:rsidR="00291505" w:rsidRPr="00227C94">
        <w:rPr>
          <w:lang w:val="en-US"/>
        </w:rPr>
        <w:br/>
      </w:r>
      <w:r w:rsidRPr="00227C94">
        <w:rPr>
          <w:lang w:val="en-US"/>
        </w:rPr>
        <w:t>OJSC “Matrosov Mine” which performs development works at the Natalka deposit.</w:t>
      </w:r>
    </w:p>
    <w:p w:rsidR="00916675" w:rsidRPr="00227C94" w:rsidRDefault="00916675" w:rsidP="00291505">
      <w:pPr>
        <w:pStyle w:val="23"/>
        <w:rPr>
          <w:color w:val="auto"/>
          <w:lang w:val="en-US"/>
        </w:rPr>
      </w:pPr>
    </w:p>
    <w:p w:rsidR="00916675" w:rsidRPr="00227C94" w:rsidRDefault="00916675" w:rsidP="00291505">
      <w:pPr>
        <w:pStyle w:val="23"/>
        <w:rPr>
          <w:color w:val="auto"/>
          <w:lang w:val="en-US"/>
        </w:rPr>
      </w:pPr>
      <w:r w:rsidRPr="00227C94">
        <w:rPr>
          <w:color w:val="auto"/>
          <w:lang w:val="en-US"/>
        </w:rPr>
        <w:t>The reportable segments derive their revenue primarily from gold sales. The CODM performs an analysis of the operating results based on these separate business units and evaluates the reporting segment’s results, for purposes of resource allocation, based on the segment measure; segment profit before income tax excluding the finance costs, other sales, costs of other sales and income from investments.</w:t>
      </w:r>
    </w:p>
    <w:p w:rsidR="00916675" w:rsidRPr="00227C94" w:rsidRDefault="00916675" w:rsidP="00291505">
      <w:pPr>
        <w:pStyle w:val="23"/>
        <w:rPr>
          <w:color w:val="auto"/>
          <w:lang w:val="en-US"/>
        </w:rPr>
      </w:pPr>
    </w:p>
    <w:p w:rsidR="00916675" w:rsidRPr="00227C94" w:rsidRDefault="00916675" w:rsidP="00291505">
      <w:pPr>
        <w:pStyle w:val="23"/>
        <w:rPr>
          <w:color w:val="auto"/>
          <w:lang w:val="en-US"/>
        </w:rPr>
      </w:pPr>
      <w:r w:rsidRPr="00227C94">
        <w:rPr>
          <w:color w:val="auto"/>
          <w:spacing w:val="-2"/>
          <w:lang w:val="en-US"/>
        </w:rPr>
        <w:t xml:space="preserve">Business segment assets and liabilities are not reviewed by the CODM and therefore are not disclosed </w:t>
      </w:r>
      <w:r w:rsidRPr="00227C94">
        <w:rPr>
          <w:color w:val="auto"/>
          <w:lang w:val="en-US"/>
        </w:rPr>
        <w:t>in these condensed consolidated interim financial statements. Segment financial information provided to the CODM is prepared from the management accounts which are based on Russian or Kazakhstan accounting standards, respectively.</w:t>
      </w:r>
    </w:p>
    <w:p w:rsidR="00916675" w:rsidRPr="00227C94" w:rsidRDefault="00916675" w:rsidP="00291505">
      <w:pPr>
        <w:pStyle w:val="23"/>
        <w:rPr>
          <w:color w:val="auto"/>
          <w:lang w:val="en-US"/>
        </w:rPr>
      </w:pPr>
    </w:p>
    <w:p w:rsidR="00916675" w:rsidRPr="00227C94" w:rsidRDefault="00916675" w:rsidP="00291505">
      <w:pPr>
        <w:pStyle w:val="a4"/>
        <w:pageBreakBefore/>
        <w:tabs>
          <w:tab w:val="left" w:pos="476"/>
        </w:tabs>
        <w:rPr>
          <w:b/>
          <w:lang w:val="en-US"/>
        </w:rPr>
      </w:pPr>
      <w:r w:rsidRPr="00227C94">
        <w:rPr>
          <w:b/>
          <w:lang w:val="en-US"/>
        </w:rPr>
        <w:lastRenderedPageBreak/>
        <w:t>4.</w:t>
      </w:r>
      <w:r w:rsidRPr="00227C94">
        <w:rPr>
          <w:b/>
          <w:lang w:val="en-US"/>
        </w:rPr>
        <w:tab/>
        <w:t xml:space="preserve">SEGMENT INFORMATION </w:t>
      </w:r>
      <w:r w:rsidRPr="00227C94">
        <w:rPr>
          <w:caps/>
          <w:lang w:val="en-US"/>
        </w:rPr>
        <w:t>(</w:t>
      </w:r>
      <w:r w:rsidRPr="00227C94">
        <w:rPr>
          <w:b/>
          <w:lang w:val="en-US"/>
        </w:rPr>
        <w:t>continued</w:t>
      </w:r>
      <w:r w:rsidRPr="00227C94">
        <w:rPr>
          <w:caps/>
          <w:lang w:val="en-US"/>
        </w:rPr>
        <w:t>)</w:t>
      </w:r>
    </w:p>
    <w:p w:rsidR="00916675" w:rsidRPr="00227C94" w:rsidRDefault="00916675" w:rsidP="00291505">
      <w:pPr>
        <w:pStyle w:val="23"/>
        <w:rPr>
          <w:color w:val="auto"/>
          <w:lang w:val="en-US"/>
        </w:rPr>
      </w:pPr>
    </w:p>
    <w:p w:rsidR="00916675" w:rsidRPr="00227C94" w:rsidRDefault="00916675" w:rsidP="00291505">
      <w:pPr>
        <w:pStyle w:val="23"/>
        <w:rPr>
          <w:color w:val="auto"/>
          <w:lang w:val="en-US"/>
        </w:rPr>
      </w:pPr>
      <w:r w:rsidRPr="00227C94">
        <w:rPr>
          <w:color w:val="auto"/>
          <w:lang w:val="en-US"/>
        </w:rPr>
        <w:t>The Group does not to allocate segment results of companies that perform management, investing activities and certain other administrative functions within its internal reporting.</w:t>
      </w:r>
    </w:p>
    <w:p w:rsidR="00916675" w:rsidRPr="00227C94" w:rsidRDefault="00916675" w:rsidP="00291505">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2928"/>
        <w:gridCol w:w="1417"/>
        <w:gridCol w:w="113"/>
        <w:gridCol w:w="1417"/>
        <w:gridCol w:w="113"/>
        <w:gridCol w:w="1417"/>
        <w:gridCol w:w="113"/>
        <w:gridCol w:w="1417"/>
      </w:tblGrid>
      <w:tr w:rsidR="00916675" w:rsidRPr="00227C94" w:rsidTr="00A701F4">
        <w:trPr>
          <w:cantSplit/>
        </w:trPr>
        <w:tc>
          <w:tcPr>
            <w:tcW w:w="2928" w:type="dxa"/>
            <w:vAlign w:val="bottom"/>
          </w:tcPr>
          <w:p w:rsidR="00916675" w:rsidRPr="00227C94" w:rsidRDefault="00916675" w:rsidP="00291505">
            <w:pPr>
              <w:pStyle w:val="tblHeaderText"/>
              <w:jc w:val="left"/>
              <w:rPr>
                <w:lang w:val="en-US"/>
              </w:rPr>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Gold</w:t>
            </w:r>
          </w:p>
          <w:p w:rsidR="00916675" w:rsidRPr="00227C94" w:rsidRDefault="00916675" w:rsidP="00291505">
            <w:pPr>
              <w:pStyle w:val="tblHeaderText"/>
            </w:pPr>
            <w:r w:rsidRPr="00227C94">
              <w:t>sales</w:t>
            </w:r>
          </w:p>
        </w:tc>
        <w:tc>
          <w:tcPr>
            <w:tcW w:w="11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Segment profit/(loss)</w:t>
            </w:r>
          </w:p>
        </w:tc>
        <w:tc>
          <w:tcPr>
            <w:tcW w:w="11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Capital expenditures</w:t>
            </w:r>
          </w:p>
        </w:tc>
        <w:tc>
          <w:tcPr>
            <w:tcW w:w="11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Depreciation and amortisation</w:t>
            </w:r>
          </w:p>
        </w:tc>
      </w:tr>
      <w:tr w:rsidR="00291505" w:rsidRPr="00227C94" w:rsidTr="00A701F4">
        <w:trPr>
          <w:cantSplit/>
        </w:trPr>
        <w:tc>
          <w:tcPr>
            <w:tcW w:w="2928" w:type="dxa"/>
            <w:vAlign w:val="bottom"/>
          </w:tcPr>
          <w:p w:rsidR="00291505" w:rsidRPr="00227C94" w:rsidRDefault="00291505" w:rsidP="00291505">
            <w:pPr>
              <w:pStyle w:val="tblHeaderText"/>
              <w:jc w:val="left"/>
            </w:pPr>
          </w:p>
        </w:tc>
        <w:tc>
          <w:tcPr>
            <w:tcW w:w="1417" w:type="dxa"/>
            <w:tcBorders>
              <w:top w:val="single" w:sz="6" w:space="0" w:color="auto"/>
            </w:tcBorders>
            <w:shd w:val="clear" w:color="auto" w:fill="auto"/>
            <w:vAlign w:val="bottom"/>
          </w:tcPr>
          <w:p w:rsidR="00291505" w:rsidRPr="00227C94" w:rsidRDefault="00291505" w:rsidP="00291505">
            <w:pPr>
              <w:pStyle w:val="tblHeaderText"/>
            </w:pPr>
          </w:p>
        </w:tc>
        <w:tc>
          <w:tcPr>
            <w:tcW w:w="113" w:type="dxa"/>
            <w:shd w:val="clear" w:color="auto" w:fill="auto"/>
          </w:tcPr>
          <w:p w:rsidR="00291505" w:rsidRPr="00227C94" w:rsidRDefault="00291505" w:rsidP="00291505">
            <w:pPr>
              <w:pStyle w:val="tblHeaderText"/>
            </w:pPr>
          </w:p>
        </w:tc>
        <w:tc>
          <w:tcPr>
            <w:tcW w:w="1417" w:type="dxa"/>
            <w:tcBorders>
              <w:top w:val="single" w:sz="6" w:space="0" w:color="auto"/>
            </w:tcBorders>
            <w:shd w:val="clear" w:color="auto" w:fill="auto"/>
            <w:vAlign w:val="bottom"/>
          </w:tcPr>
          <w:p w:rsidR="00291505" w:rsidRPr="00227C94" w:rsidRDefault="00291505" w:rsidP="00291505">
            <w:pPr>
              <w:pStyle w:val="tblHeaderText"/>
            </w:pPr>
          </w:p>
        </w:tc>
        <w:tc>
          <w:tcPr>
            <w:tcW w:w="113" w:type="dxa"/>
            <w:shd w:val="clear" w:color="auto" w:fill="auto"/>
          </w:tcPr>
          <w:p w:rsidR="00291505" w:rsidRPr="00227C94" w:rsidRDefault="00291505" w:rsidP="00291505">
            <w:pPr>
              <w:pStyle w:val="tblHeaderText"/>
            </w:pPr>
          </w:p>
        </w:tc>
        <w:tc>
          <w:tcPr>
            <w:tcW w:w="1417" w:type="dxa"/>
            <w:tcBorders>
              <w:top w:val="single" w:sz="6" w:space="0" w:color="auto"/>
            </w:tcBorders>
            <w:shd w:val="clear" w:color="auto" w:fill="auto"/>
            <w:vAlign w:val="bottom"/>
          </w:tcPr>
          <w:p w:rsidR="00291505" w:rsidRPr="00227C94" w:rsidRDefault="00291505" w:rsidP="00291505">
            <w:pPr>
              <w:pStyle w:val="tblHeaderText"/>
            </w:pPr>
          </w:p>
        </w:tc>
        <w:tc>
          <w:tcPr>
            <w:tcW w:w="113" w:type="dxa"/>
            <w:shd w:val="clear" w:color="auto" w:fill="auto"/>
          </w:tcPr>
          <w:p w:rsidR="00291505" w:rsidRPr="00227C94" w:rsidRDefault="00291505" w:rsidP="00291505">
            <w:pPr>
              <w:pStyle w:val="tblHeaderText"/>
            </w:pPr>
          </w:p>
        </w:tc>
        <w:tc>
          <w:tcPr>
            <w:tcW w:w="1417" w:type="dxa"/>
            <w:tcBorders>
              <w:top w:val="single" w:sz="6" w:space="0" w:color="auto"/>
            </w:tcBorders>
            <w:shd w:val="clear" w:color="auto" w:fill="auto"/>
            <w:vAlign w:val="bottom"/>
          </w:tcPr>
          <w:p w:rsidR="00291505" w:rsidRPr="00227C94" w:rsidRDefault="00291505" w:rsidP="00291505">
            <w:pPr>
              <w:pStyle w:val="tblHeaderText"/>
            </w:pPr>
          </w:p>
        </w:tc>
      </w:tr>
      <w:tr w:rsidR="00916675" w:rsidRPr="00227C94" w:rsidTr="00291505">
        <w:trPr>
          <w:cantSplit/>
        </w:trPr>
        <w:tc>
          <w:tcPr>
            <w:tcW w:w="2928" w:type="dxa"/>
            <w:vAlign w:val="bottom"/>
          </w:tcPr>
          <w:p w:rsidR="00916675" w:rsidRPr="00227C94" w:rsidRDefault="00291505" w:rsidP="00291505">
            <w:pPr>
              <w:pStyle w:val="tblHeaderText"/>
              <w:jc w:val="left"/>
              <w:rPr>
                <w:b w:val="0"/>
                <w:lang w:val="en-US"/>
              </w:rPr>
            </w:pPr>
            <w:r w:rsidRPr="00227C94">
              <w:rPr>
                <w:lang w:val="en-US"/>
              </w:rPr>
              <w:t xml:space="preserve">For the six months ended </w:t>
            </w:r>
            <w:r w:rsidRPr="00227C94">
              <w:rPr>
                <w:lang w:val="en-US"/>
              </w:rPr>
              <w:br/>
              <w:t>30 June 2012</w:t>
            </w:r>
          </w:p>
        </w:tc>
        <w:tc>
          <w:tcPr>
            <w:tcW w:w="1417" w:type="dxa"/>
            <w:shd w:val="clear" w:color="auto" w:fill="auto"/>
            <w:vAlign w:val="bottom"/>
          </w:tcPr>
          <w:p w:rsidR="00916675" w:rsidRPr="00227C94" w:rsidRDefault="00916675" w:rsidP="00291505">
            <w:pPr>
              <w:pStyle w:val="tblNumber01"/>
              <w:rPr>
                <w:lang w:val="en-US"/>
              </w:rPr>
            </w:pPr>
          </w:p>
        </w:tc>
        <w:tc>
          <w:tcPr>
            <w:tcW w:w="113" w:type="dxa"/>
            <w:shd w:val="clear" w:color="auto" w:fill="auto"/>
            <w:vAlign w:val="bottom"/>
          </w:tcPr>
          <w:p w:rsidR="00916675" w:rsidRPr="00227C94" w:rsidRDefault="00916675" w:rsidP="00291505">
            <w:pPr>
              <w:pStyle w:val="tblNumber01"/>
              <w:rPr>
                <w:lang w:val="en-US"/>
              </w:rPr>
            </w:pPr>
          </w:p>
        </w:tc>
        <w:tc>
          <w:tcPr>
            <w:tcW w:w="1417" w:type="dxa"/>
            <w:shd w:val="clear" w:color="auto" w:fill="auto"/>
            <w:vAlign w:val="bottom"/>
          </w:tcPr>
          <w:p w:rsidR="00916675" w:rsidRPr="00227C94" w:rsidRDefault="00916675" w:rsidP="00291505">
            <w:pPr>
              <w:pStyle w:val="tblNumber01"/>
              <w:rPr>
                <w:lang w:val="en-US"/>
              </w:rPr>
            </w:pPr>
          </w:p>
        </w:tc>
        <w:tc>
          <w:tcPr>
            <w:tcW w:w="113" w:type="dxa"/>
            <w:shd w:val="clear" w:color="auto" w:fill="auto"/>
            <w:vAlign w:val="bottom"/>
          </w:tcPr>
          <w:p w:rsidR="00916675" w:rsidRPr="00227C94" w:rsidRDefault="00916675" w:rsidP="00291505">
            <w:pPr>
              <w:pStyle w:val="tblNumber01"/>
              <w:rPr>
                <w:lang w:val="en-US"/>
              </w:rPr>
            </w:pPr>
          </w:p>
        </w:tc>
        <w:tc>
          <w:tcPr>
            <w:tcW w:w="1417" w:type="dxa"/>
            <w:shd w:val="clear" w:color="auto" w:fill="auto"/>
            <w:vAlign w:val="bottom"/>
          </w:tcPr>
          <w:p w:rsidR="00916675" w:rsidRPr="00227C94" w:rsidRDefault="00916675" w:rsidP="00291505">
            <w:pPr>
              <w:pStyle w:val="tblNumber01"/>
              <w:rPr>
                <w:lang w:val="en-US"/>
              </w:rPr>
            </w:pPr>
          </w:p>
        </w:tc>
        <w:tc>
          <w:tcPr>
            <w:tcW w:w="113" w:type="dxa"/>
            <w:shd w:val="clear" w:color="auto" w:fill="auto"/>
            <w:vAlign w:val="bottom"/>
          </w:tcPr>
          <w:p w:rsidR="00916675" w:rsidRPr="00227C94" w:rsidRDefault="00916675" w:rsidP="00291505">
            <w:pPr>
              <w:pStyle w:val="tblNumber01"/>
              <w:rPr>
                <w:lang w:val="en-US"/>
              </w:rPr>
            </w:pPr>
          </w:p>
        </w:tc>
        <w:tc>
          <w:tcPr>
            <w:tcW w:w="1417" w:type="dxa"/>
            <w:shd w:val="clear" w:color="auto" w:fill="auto"/>
            <w:vAlign w:val="bottom"/>
          </w:tcPr>
          <w:p w:rsidR="00916675" w:rsidRPr="00227C94" w:rsidRDefault="00916675" w:rsidP="00291505">
            <w:pPr>
              <w:pStyle w:val="tblNumber01"/>
              <w:rPr>
                <w:lang w:val="en-US"/>
              </w:rPr>
            </w:pPr>
          </w:p>
        </w:tc>
      </w:tr>
      <w:tr w:rsidR="00916675" w:rsidRPr="00227C94" w:rsidTr="00291505">
        <w:trPr>
          <w:cantSplit/>
        </w:trPr>
        <w:tc>
          <w:tcPr>
            <w:tcW w:w="2928" w:type="dxa"/>
            <w:vAlign w:val="bottom"/>
          </w:tcPr>
          <w:p w:rsidR="00916675" w:rsidRPr="00227C94" w:rsidRDefault="00916675" w:rsidP="00291505">
            <w:pPr>
              <w:pStyle w:val="tblText02"/>
              <w:rPr>
                <w:lang w:val="en-US"/>
              </w:rPr>
            </w:pPr>
          </w:p>
        </w:tc>
        <w:tc>
          <w:tcPr>
            <w:tcW w:w="1417" w:type="dxa"/>
            <w:vAlign w:val="bottom"/>
          </w:tcPr>
          <w:p w:rsidR="00916675" w:rsidRPr="00227C94" w:rsidRDefault="00916675" w:rsidP="00291505">
            <w:pPr>
              <w:pStyle w:val="tblNumber01"/>
              <w:rPr>
                <w:lang w:val="en-US"/>
              </w:rPr>
            </w:pPr>
          </w:p>
        </w:tc>
        <w:tc>
          <w:tcPr>
            <w:tcW w:w="11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c>
          <w:tcPr>
            <w:tcW w:w="11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c>
          <w:tcPr>
            <w:tcW w:w="11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r>
      <w:tr w:rsidR="00916675" w:rsidRPr="00227C94" w:rsidTr="00291505">
        <w:trPr>
          <w:cantSplit/>
        </w:trPr>
        <w:tc>
          <w:tcPr>
            <w:tcW w:w="2928" w:type="dxa"/>
          </w:tcPr>
          <w:p w:rsidR="00916675" w:rsidRPr="00227C94" w:rsidRDefault="00916675" w:rsidP="00291505">
            <w:pPr>
              <w:pStyle w:val="tblText02"/>
            </w:pPr>
            <w:r w:rsidRPr="00227C94">
              <w:t>Krasnoyarsk business unit</w:t>
            </w:r>
          </w:p>
        </w:tc>
        <w:tc>
          <w:tcPr>
            <w:tcW w:w="1417" w:type="dxa"/>
            <w:vAlign w:val="bottom"/>
          </w:tcPr>
          <w:p w:rsidR="00916675" w:rsidRPr="00227C94" w:rsidRDefault="00916675" w:rsidP="00291505">
            <w:pPr>
              <w:pStyle w:val="tblNumber01"/>
            </w:pPr>
            <w:r w:rsidRPr="00227C94">
              <w:t>916,086</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465,059</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132,267</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48,119</w:t>
            </w:r>
          </w:p>
        </w:tc>
      </w:tr>
      <w:tr w:rsidR="00916675" w:rsidRPr="00227C94" w:rsidTr="00291505">
        <w:trPr>
          <w:cantSplit/>
        </w:trPr>
        <w:tc>
          <w:tcPr>
            <w:tcW w:w="2928" w:type="dxa"/>
          </w:tcPr>
          <w:p w:rsidR="00916675" w:rsidRPr="00227C94" w:rsidRDefault="00916675" w:rsidP="00291505">
            <w:pPr>
              <w:pStyle w:val="tblText02"/>
            </w:pPr>
            <w:r w:rsidRPr="00227C94">
              <w:t>Irkutsk alluvial business unit</w:t>
            </w:r>
          </w:p>
        </w:tc>
        <w:tc>
          <w:tcPr>
            <w:tcW w:w="1417" w:type="dxa"/>
            <w:vAlign w:val="bottom"/>
          </w:tcPr>
          <w:p w:rsidR="00916675" w:rsidRPr="00227C94" w:rsidRDefault="00916675" w:rsidP="00291505">
            <w:pPr>
              <w:pStyle w:val="tblNumber01"/>
            </w:pPr>
            <w:r w:rsidRPr="00227C94">
              <w:t>72,781</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24,715</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16,938</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5,062</w:t>
            </w:r>
          </w:p>
        </w:tc>
      </w:tr>
      <w:tr w:rsidR="00916675" w:rsidRPr="00227C94" w:rsidTr="00291505">
        <w:trPr>
          <w:cantSplit/>
        </w:trPr>
        <w:tc>
          <w:tcPr>
            <w:tcW w:w="2928" w:type="dxa"/>
          </w:tcPr>
          <w:p w:rsidR="00916675" w:rsidRPr="00227C94" w:rsidRDefault="00916675" w:rsidP="00291505">
            <w:pPr>
              <w:pStyle w:val="tblText02"/>
            </w:pPr>
            <w:r w:rsidRPr="00227C94">
              <w:t>Yakutsk Kuranakh business unit</w:t>
            </w:r>
          </w:p>
        </w:tc>
        <w:tc>
          <w:tcPr>
            <w:tcW w:w="1417" w:type="dxa"/>
            <w:vAlign w:val="bottom"/>
          </w:tcPr>
          <w:p w:rsidR="00916675" w:rsidRPr="00227C94" w:rsidRDefault="00916675" w:rsidP="00291505">
            <w:pPr>
              <w:pStyle w:val="tblNumber01"/>
            </w:pPr>
            <w:r w:rsidRPr="00227C94">
              <w:t>114,873</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23,487</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11,649</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3,767</w:t>
            </w:r>
          </w:p>
        </w:tc>
      </w:tr>
      <w:tr w:rsidR="00916675" w:rsidRPr="00227C94" w:rsidTr="00291505">
        <w:trPr>
          <w:cantSplit/>
        </w:trPr>
        <w:tc>
          <w:tcPr>
            <w:tcW w:w="2928" w:type="dxa"/>
          </w:tcPr>
          <w:p w:rsidR="00916675" w:rsidRPr="00227C94" w:rsidRDefault="00916675" w:rsidP="00291505">
            <w:pPr>
              <w:pStyle w:val="tblText02"/>
            </w:pPr>
            <w:r w:rsidRPr="00227C94">
              <w:t>Irkutsk ore business unit</w:t>
            </w:r>
          </w:p>
        </w:tc>
        <w:tc>
          <w:tcPr>
            <w:tcW w:w="1417" w:type="dxa"/>
            <w:vAlign w:val="bottom"/>
          </w:tcPr>
          <w:p w:rsidR="00916675" w:rsidRPr="00227C94" w:rsidRDefault="00916675" w:rsidP="00291505">
            <w:pPr>
              <w:pStyle w:val="tblNumber01"/>
            </w:pPr>
            <w:r w:rsidRPr="00227C94">
              <w:t>29,134</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7,044</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86,956</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3,063</w:t>
            </w:r>
          </w:p>
        </w:tc>
      </w:tr>
      <w:tr w:rsidR="00916675" w:rsidRPr="00227C94" w:rsidTr="00291505">
        <w:trPr>
          <w:cantSplit/>
        </w:trPr>
        <w:tc>
          <w:tcPr>
            <w:tcW w:w="2928" w:type="dxa"/>
          </w:tcPr>
          <w:p w:rsidR="00916675" w:rsidRPr="00227C94" w:rsidRDefault="00916675" w:rsidP="00291505">
            <w:pPr>
              <w:pStyle w:val="tblText02"/>
            </w:pPr>
            <w:r w:rsidRPr="00227C94">
              <w:t>Exploration business unit</w:t>
            </w:r>
          </w:p>
        </w:tc>
        <w:tc>
          <w:tcPr>
            <w:tcW w:w="1417" w:type="dxa"/>
            <w:vAlign w:val="bottom"/>
          </w:tcPr>
          <w:p w:rsidR="00916675" w:rsidRPr="00227C94" w:rsidRDefault="00916675" w:rsidP="00291505">
            <w:pPr>
              <w:pStyle w:val="tblNumberDash"/>
            </w:pPr>
            <w:r w:rsidRPr="00227C94">
              <w:t>-</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(7,912)</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5,186</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850</w:t>
            </w:r>
          </w:p>
        </w:tc>
      </w:tr>
      <w:tr w:rsidR="00916675" w:rsidRPr="00227C94" w:rsidTr="00A701F4">
        <w:trPr>
          <w:cantSplit/>
        </w:trPr>
        <w:tc>
          <w:tcPr>
            <w:tcW w:w="2928" w:type="dxa"/>
          </w:tcPr>
          <w:p w:rsidR="00916675" w:rsidRPr="00227C94" w:rsidRDefault="00916675" w:rsidP="00291505">
            <w:pPr>
              <w:pStyle w:val="tblText02"/>
            </w:pPr>
            <w:r w:rsidRPr="00227C94">
              <w:t>Kazakhstan business unit</w:t>
            </w:r>
          </w:p>
        </w:tc>
        <w:tc>
          <w:tcPr>
            <w:tcW w:w="1417" w:type="dxa"/>
            <w:vAlign w:val="bottom"/>
          </w:tcPr>
          <w:p w:rsidR="00916675" w:rsidRPr="00227C94" w:rsidRDefault="00916675" w:rsidP="00291505">
            <w:pPr>
              <w:pStyle w:val="tblNumber01"/>
            </w:pPr>
            <w:r w:rsidRPr="00227C94">
              <w:t>90,992</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22,906</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20,988</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9,700</w:t>
            </w:r>
          </w:p>
        </w:tc>
      </w:tr>
      <w:tr w:rsidR="00916675" w:rsidRPr="00227C94" w:rsidTr="00A701F4">
        <w:trPr>
          <w:cantSplit/>
        </w:trPr>
        <w:tc>
          <w:tcPr>
            <w:tcW w:w="2928" w:type="dxa"/>
          </w:tcPr>
          <w:p w:rsidR="00916675" w:rsidRPr="00227C94" w:rsidRDefault="00916675" w:rsidP="00291505">
            <w:pPr>
              <w:pStyle w:val="tblText02"/>
            </w:pPr>
            <w:r w:rsidRPr="00227C94">
              <w:t>Magadan business unit</w:t>
            </w:r>
          </w:p>
        </w:tc>
        <w:tc>
          <w:tcPr>
            <w:tcW w:w="1417" w:type="dxa"/>
            <w:tcBorders>
              <w:bottom w:val="single" w:sz="6" w:space="0" w:color="auto"/>
            </w:tcBorders>
            <w:shd w:val="clear" w:color="auto" w:fill="auto"/>
            <w:vAlign w:val="bottom"/>
          </w:tcPr>
          <w:p w:rsidR="00916675" w:rsidRPr="00227C94" w:rsidRDefault="00916675" w:rsidP="00291505">
            <w:pPr>
              <w:pStyle w:val="tblNumberDash"/>
            </w:pPr>
            <w:r w:rsidRPr="00227C94">
              <w:t>-</w:t>
            </w:r>
          </w:p>
        </w:tc>
        <w:tc>
          <w:tcPr>
            <w:tcW w:w="11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(10,606)</w:t>
            </w:r>
          </w:p>
        </w:tc>
        <w:tc>
          <w:tcPr>
            <w:tcW w:w="11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23,146</w:t>
            </w:r>
          </w:p>
        </w:tc>
        <w:tc>
          <w:tcPr>
            <w:tcW w:w="11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1,577</w:t>
            </w:r>
          </w:p>
        </w:tc>
      </w:tr>
      <w:tr w:rsidR="00916675" w:rsidRPr="00227C94" w:rsidTr="00A701F4">
        <w:trPr>
          <w:cantSplit/>
        </w:trPr>
        <w:tc>
          <w:tcPr>
            <w:tcW w:w="2928" w:type="dxa"/>
            <w:vAlign w:val="bottom"/>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A701F4">
        <w:trPr>
          <w:cantSplit/>
        </w:trPr>
        <w:tc>
          <w:tcPr>
            <w:tcW w:w="2928" w:type="dxa"/>
            <w:vAlign w:val="bottom"/>
          </w:tcPr>
          <w:p w:rsidR="00916675" w:rsidRPr="00227C94" w:rsidRDefault="00916675" w:rsidP="00291505">
            <w:pPr>
              <w:pStyle w:val="tblText02"/>
              <w:rPr>
                <w:b/>
              </w:rPr>
            </w:pPr>
            <w:r w:rsidRPr="00227C94">
              <w:rPr>
                <w:b/>
              </w:rPr>
              <w:t>Segment result</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1,223,866</w:t>
            </w:r>
          </w:p>
        </w:tc>
        <w:tc>
          <w:tcPr>
            <w:tcW w:w="11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524,693</w:t>
            </w:r>
          </w:p>
        </w:tc>
        <w:tc>
          <w:tcPr>
            <w:tcW w:w="11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297,130</w:t>
            </w:r>
          </w:p>
        </w:tc>
        <w:tc>
          <w:tcPr>
            <w:tcW w:w="11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72,138</w:t>
            </w:r>
          </w:p>
        </w:tc>
      </w:tr>
      <w:tr w:rsidR="00916675" w:rsidRPr="00227C94" w:rsidTr="00291505">
        <w:trPr>
          <w:cantSplit/>
        </w:trPr>
        <w:tc>
          <w:tcPr>
            <w:tcW w:w="2928" w:type="dxa"/>
            <w:vAlign w:val="bottom"/>
          </w:tcPr>
          <w:p w:rsidR="00916675" w:rsidRPr="00227C94" w:rsidRDefault="00916675" w:rsidP="00291505">
            <w:pPr>
              <w:pStyle w:val="tblText02"/>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2928" w:type="dxa"/>
            <w:vAlign w:val="bottom"/>
          </w:tcPr>
          <w:p w:rsidR="00916675" w:rsidRPr="00227C94" w:rsidRDefault="00916675" w:rsidP="00291505">
            <w:pPr>
              <w:pStyle w:val="tblText02"/>
            </w:pPr>
          </w:p>
        </w:tc>
        <w:tc>
          <w:tcPr>
            <w:tcW w:w="1417" w:type="dxa"/>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r>
      <w:tr w:rsidR="00916675" w:rsidRPr="00227C94" w:rsidTr="00291505">
        <w:trPr>
          <w:cantSplit/>
        </w:trPr>
        <w:tc>
          <w:tcPr>
            <w:tcW w:w="2928" w:type="dxa"/>
            <w:vAlign w:val="bottom"/>
          </w:tcPr>
          <w:p w:rsidR="00916675" w:rsidRPr="00227C94" w:rsidRDefault="00916675" w:rsidP="00291505">
            <w:pPr>
              <w:pStyle w:val="tblText02"/>
              <w:rPr>
                <w:b/>
                <w:lang w:val="en-US"/>
              </w:rPr>
            </w:pPr>
            <w:r w:rsidRPr="00227C94">
              <w:rPr>
                <w:b/>
                <w:lang w:val="en-US"/>
              </w:rPr>
              <w:t>For the six months ended</w:t>
            </w:r>
            <w:r w:rsidR="00291505" w:rsidRPr="00227C94">
              <w:rPr>
                <w:b/>
                <w:lang w:val="en-US"/>
              </w:rPr>
              <w:t xml:space="preserve"> </w:t>
            </w:r>
            <w:r w:rsidR="00291505" w:rsidRPr="00227C94">
              <w:rPr>
                <w:b/>
                <w:lang w:val="en-US"/>
              </w:rPr>
              <w:br/>
            </w:r>
            <w:r w:rsidRPr="00227C94">
              <w:rPr>
                <w:b/>
                <w:lang w:val="en-US"/>
              </w:rPr>
              <w:t>30 June 2011</w:t>
            </w:r>
          </w:p>
        </w:tc>
        <w:tc>
          <w:tcPr>
            <w:tcW w:w="1417" w:type="dxa"/>
            <w:vAlign w:val="bottom"/>
          </w:tcPr>
          <w:p w:rsidR="00916675" w:rsidRPr="00227C94" w:rsidRDefault="00916675" w:rsidP="00291505">
            <w:pPr>
              <w:pStyle w:val="tblNumber01"/>
              <w:rPr>
                <w:lang w:val="en-US"/>
              </w:rPr>
            </w:pPr>
          </w:p>
        </w:tc>
        <w:tc>
          <w:tcPr>
            <w:tcW w:w="11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c>
          <w:tcPr>
            <w:tcW w:w="11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c>
          <w:tcPr>
            <w:tcW w:w="11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r>
      <w:tr w:rsidR="00916675" w:rsidRPr="00227C94" w:rsidTr="00291505">
        <w:trPr>
          <w:cantSplit/>
        </w:trPr>
        <w:tc>
          <w:tcPr>
            <w:tcW w:w="2928" w:type="dxa"/>
            <w:vAlign w:val="bottom"/>
          </w:tcPr>
          <w:p w:rsidR="00916675" w:rsidRPr="00227C94" w:rsidRDefault="00916675" w:rsidP="00291505">
            <w:pPr>
              <w:pStyle w:val="tblText02"/>
              <w:rPr>
                <w:lang w:val="en-US"/>
              </w:rPr>
            </w:pPr>
          </w:p>
        </w:tc>
        <w:tc>
          <w:tcPr>
            <w:tcW w:w="1417" w:type="dxa"/>
            <w:vAlign w:val="bottom"/>
          </w:tcPr>
          <w:p w:rsidR="00916675" w:rsidRPr="00227C94" w:rsidRDefault="00916675" w:rsidP="00291505">
            <w:pPr>
              <w:pStyle w:val="tblNumber01"/>
              <w:rPr>
                <w:lang w:val="en-US"/>
              </w:rPr>
            </w:pPr>
          </w:p>
        </w:tc>
        <w:tc>
          <w:tcPr>
            <w:tcW w:w="11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c>
          <w:tcPr>
            <w:tcW w:w="11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c>
          <w:tcPr>
            <w:tcW w:w="11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r>
      <w:tr w:rsidR="00916675" w:rsidRPr="00227C94" w:rsidTr="00291505">
        <w:trPr>
          <w:cantSplit/>
        </w:trPr>
        <w:tc>
          <w:tcPr>
            <w:tcW w:w="2928" w:type="dxa"/>
          </w:tcPr>
          <w:p w:rsidR="00916675" w:rsidRPr="00227C94" w:rsidRDefault="00916675" w:rsidP="00291505">
            <w:pPr>
              <w:pStyle w:val="tblText02"/>
            </w:pPr>
            <w:r w:rsidRPr="00227C94">
              <w:t>Krasnoyarsk business unit</w:t>
            </w:r>
          </w:p>
        </w:tc>
        <w:tc>
          <w:tcPr>
            <w:tcW w:w="1417" w:type="dxa"/>
            <w:vAlign w:val="bottom"/>
          </w:tcPr>
          <w:p w:rsidR="00916675" w:rsidRPr="00227C94" w:rsidRDefault="00916675" w:rsidP="00291505">
            <w:pPr>
              <w:pStyle w:val="tblNumber01"/>
            </w:pPr>
            <w:r w:rsidRPr="00227C94">
              <w:t>669,570</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342,265</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105,278</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46,352</w:t>
            </w:r>
          </w:p>
        </w:tc>
      </w:tr>
      <w:tr w:rsidR="00916675" w:rsidRPr="00227C94" w:rsidTr="00291505">
        <w:trPr>
          <w:cantSplit/>
        </w:trPr>
        <w:tc>
          <w:tcPr>
            <w:tcW w:w="2928" w:type="dxa"/>
          </w:tcPr>
          <w:p w:rsidR="00916675" w:rsidRPr="00227C94" w:rsidRDefault="00916675" w:rsidP="00291505">
            <w:pPr>
              <w:pStyle w:val="tblText02"/>
            </w:pPr>
            <w:r w:rsidRPr="00227C94">
              <w:t>Irkutsk alluvial business unit</w:t>
            </w:r>
          </w:p>
        </w:tc>
        <w:tc>
          <w:tcPr>
            <w:tcW w:w="1417" w:type="dxa"/>
            <w:vAlign w:val="bottom"/>
          </w:tcPr>
          <w:p w:rsidR="00916675" w:rsidRPr="00227C94" w:rsidRDefault="00916675" w:rsidP="00291505">
            <w:pPr>
              <w:pStyle w:val="tblNumber01"/>
            </w:pPr>
            <w:r w:rsidRPr="00227C94">
              <w:t>66,644</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6,588</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15,685</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3,981</w:t>
            </w:r>
          </w:p>
        </w:tc>
      </w:tr>
      <w:tr w:rsidR="00916675" w:rsidRPr="00227C94" w:rsidTr="00291505">
        <w:trPr>
          <w:cantSplit/>
        </w:trPr>
        <w:tc>
          <w:tcPr>
            <w:tcW w:w="2928" w:type="dxa"/>
          </w:tcPr>
          <w:p w:rsidR="00916675" w:rsidRPr="00227C94" w:rsidRDefault="00916675" w:rsidP="00291505">
            <w:pPr>
              <w:pStyle w:val="tblText02"/>
            </w:pPr>
            <w:r w:rsidRPr="00227C94">
              <w:t>Yakutsk Kuranakh business unit</w:t>
            </w:r>
          </w:p>
        </w:tc>
        <w:tc>
          <w:tcPr>
            <w:tcW w:w="1417" w:type="dxa"/>
            <w:vAlign w:val="bottom"/>
          </w:tcPr>
          <w:p w:rsidR="00916675" w:rsidRPr="00227C94" w:rsidRDefault="00916675" w:rsidP="00291505">
            <w:pPr>
              <w:pStyle w:val="tblNumber01"/>
            </w:pPr>
            <w:r w:rsidRPr="00227C94">
              <w:t>78,662</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(3,735)</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1,475</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3,845</w:t>
            </w:r>
          </w:p>
        </w:tc>
      </w:tr>
      <w:tr w:rsidR="00916675" w:rsidRPr="00227C94" w:rsidTr="00291505">
        <w:trPr>
          <w:cantSplit/>
        </w:trPr>
        <w:tc>
          <w:tcPr>
            <w:tcW w:w="2928" w:type="dxa"/>
          </w:tcPr>
          <w:p w:rsidR="00916675" w:rsidRPr="00227C94" w:rsidRDefault="00916675" w:rsidP="00291505">
            <w:pPr>
              <w:pStyle w:val="tblText02"/>
            </w:pPr>
            <w:r w:rsidRPr="00227C94">
              <w:t>Irkutsk ore business unit</w:t>
            </w:r>
          </w:p>
        </w:tc>
        <w:tc>
          <w:tcPr>
            <w:tcW w:w="1417" w:type="dxa"/>
            <w:vAlign w:val="bottom"/>
          </w:tcPr>
          <w:p w:rsidR="00916675" w:rsidRPr="00227C94" w:rsidRDefault="00916675" w:rsidP="00291505">
            <w:pPr>
              <w:pStyle w:val="tblNumber01"/>
            </w:pPr>
            <w:r w:rsidRPr="00227C94">
              <w:t>3,590</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1,797</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37,493</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3,528</w:t>
            </w:r>
          </w:p>
        </w:tc>
      </w:tr>
      <w:tr w:rsidR="00916675" w:rsidRPr="00227C94" w:rsidTr="00291505">
        <w:trPr>
          <w:cantSplit/>
        </w:trPr>
        <w:tc>
          <w:tcPr>
            <w:tcW w:w="2928" w:type="dxa"/>
          </w:tcPr>
          <w:p w:rsidR="00916675" w:rsidRPr="00227C94" w:rsidRDefault="00916675" w:rsidP="00291505">
            <w:pPr>
              <w:pStyle w:val="tblText02"/>
            </w:pPr>
            <w:r w:rsidRPr="00227C94">
              <w:t>Exploration business unit</w:t>
            </w:r>
          </w:p>
        </w:tc>
        <w:tc>
          <w:tcPr>
            <w:tcW w:w="1417" w:type="dxa"/>
            <w:vAlign w:val="bottom"/>
          </w:tcPr>
          <w:p w:rsidR="00916675" w:rsidRPr="00227C94" w:rsidRDefault="00916675" w:rsidP="00291505">
            <w:pPr>
              <w:pStyle w:val="tblNumberDash"/>
            </w:pPr>
            <w:r w:rsidRPr="00227C94">
              <w:t>-</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(6,305)</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3,100</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434</w:t>
            </w:r>
          </w:p>
        </w:tc>
      </w:tr>
      <w:tr w:rsidR="00916675" w:rsidRPr="00227C94" w:rsidTr="00A701F4">
        <w:trPr>
          <w:cantSplit/>
        </w:trPr>
        <w:tc>
          <w:tcPr>
            <w:tcW w:w="2928" w:type="dxa"/>
          </w:tcPr>
          <w:p w:rsidR="00916675" w:rsidRPr="00227C94" w:rsidRDefault="00916675" w:rsidP="00291505">
            <w:pPr>
              <w:pStyle w:val="tblText02"/>
            </w:pPr>
            <w:r w:rsidRPr="00227C94">
              <w:t>Kazakhstan business unit</w:t>
            </w:r>
          </w:p>
        </w:tc>
        <w:tc>
          <w:tcPr>
            <w:tcW w:w="1417" w:type="dxa"/>
            <w:vAlign w:val="bottom"/>
          </w:tcPr>
          <w:p w:rsidR="00916675" w:rsidRPr="00227C94" w:rsidRDefault="00916675" w:rsidP="00291505">
            <w:pPr>
              <w:pStyle w:val="tblNumber01"/>
            </w:pPr>
            <w:r w:rsidRPr="00227C94">
              <w:t>83,286</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2,843</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16,858</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5,626</w:t>
            </w:r>
          </w:p>
        </w:tc>
      </w:tr>
      <w:tr w:rsidR="00916675" w:rsidRPr="00227C94" w:rsidTr="00A701F4">
        <w:trPr>
          <w:cantSplit/>
        </w:trPr>
        <w:tc>
          <w:tcPr>
            <w:tcW w:w="2928" w:type="dxa"/>
          </w:tcPr>
          <w:p w:rsidR="00916675" w:rsidRPr="00227C94" w:rsidRDefault="00916675" w:rsidP="00291505">
            <w:pPr>
              <w:pStyle w:val="tblText02"/>
            </w:pPr>
            <w:r w:rsidRPr="00227C94">
              <w:t>Magadan business unit</w:t>
            </w:r>
          </w:p>
        </w:tc>
        <w:tc>
          <w:tcPr>
            <w:tcW w:w="1417" w:type="dxa"/>
            <w:tcBorders>
              <w:bottom w:val="single" w:sz="6" w:space="0" w:color="auto"/>
            </w:tcBorders>
            <w:shd w:val="clear" w:color="auto" w:fill="auto"/>
            <w:vAlign w:val="bottom"/>
          </w:tcPr>
          <w:p w:rsidR="00916675" w:rsidRPr="00227C94" w:rsidRDefault="00916675" w:rsidP="00291505">
            <w:pPr>
              <w:pStyle w:val="tblNumberDash"/>
            </w:pPr>
            <w:r w:rsidRPr="00227C94">
              <w:t>-</w:t>
            </w:r>
          </w:p>
        </w:tc>
        <w:tc>
          <w:tcPr>
            <w:tcW w:w="11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(6,871)</w:t>
            </w:r>
          </w:p>
        </w:tc>
        <w:tc>
          <w:tcPr>
            <w:tcW w:w="11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3,259</w:t>
            </w:r>
          </w:p>
        </w:tc>
        <w:tc>
          <w:tcPr>
            <w:tcW w:w="11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1,833</w:t>
            </w:r>
          </w:p>
        </w:tc>
      </w:tr>
      <w:tr w:rsidR="00916675" w:rsidRPr="00227C94" w:rsidTr="00A701F4">
        <w:trPr>
          <w:cantSplit/>
        </w:trPr>
        <w:tc>
          <w:tcPr>
            <w:tcW w:w="2928" w:type="dxa"/>
            <w:vAlign w:val="bottom"/>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A701F4">
        <w:trPr>
          <w:cantSplit/>
        </w:trPr>
        <w:tc>
          <w:tcPr>
            <w:tcW w:w="2928" w:type="dxa"/>
            <w:vAlign w:val="bottom"/>
          </w:tcPr>
          <w:p w:rsidR="00916675" w:rsidRPr="00227C94" w:rsidRDefault="00916675" w:rsidP="00291505">
            <w:pPr>
              <w:pStyle w:val="tblText02"/>
              <w:rPr>
                <w:b/>
              </w:rPr>
            </w:pPr>
            <w:r w:rsidRPr="00227C94">
              <w:rPr>
                <w:b/>
              </w:rPr>
              <w:t>Segment result</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901,752</w:t>
            </w:r>
          </w:p>
        </w:tc>
        <w:tc>
          <w:tcPr>
            <w:tcW w:w="11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336,582</w:t>
            </w:r>
          </w:p>
        </w:tc>
        <w:tc>
          <w:tcPr>
            <w:tcW w:w="11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183,148</w:t>
            </w:r>
          </w:p>
        </w:tc>
        <w:tc>
          <w:tcPr>
            <w:tcW w:w="11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65,599</w:t>
            </w:r>
          </w:p>
        </w:tc>
      </w:tr>
      <w:tr w:rsidR="00916675" w:rsidRPr="00227C94" w:rsidTr="00291505">
        <w:trPr>
          <w:cantSplit/>
        </w:trPr>
        <w:tc>
          <w:tcPr>
            <w:tcW w:w="2928" w:type="dxa"/>
            <w:vAlign w:val="bottom"/>
          </w:tcPr>
          <w:p w:rsidR="00916675" w:rsidRPr="00227C94" w:rsidRDefault="00916675" w:rsidP="00291505">
            <w:pPr>
              <w:pStyle w:val="tblText02"/>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r>
      <w:tr w:rsidR="00916675" w:rsidRPr="00227C94" w:rsidDel="00F075AD" w:rsidTr="00291505">
        <w:trPr>
          <w:cantSplit/>
        </w:trPr>
        <w:tc>
          <w:tcPr>
            <w:tcW w:w="2928" w:type="dxa"/>
            <w:vAlign w:val="bottom"/>
          </w:tcPr>
          <w:p w:rsidR="00916675" w:rsidRPr="00227C94" w:rsidRDefault="00916675" w:rsidP="00291505">
            <w:pPr>
              <w:pStyle w:val="tblText02"/>
            </w:pPr>
          </w:p>
        </w:tc>
        <w:tc>
          <w:tcPr>
            <w:tcW w:w="1417" w:type="dxa"/>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r>
      <w:tr w:rsidR="00916675" w:rsidRPr="00227C94" w:rsidDel="00F075AD" w:rsidTr="00291505">
        <w:trPr>
          <w:cantSplit/>
        </w:trPr>
        <w:tc>
          <w:tcPr>
            <w:tcW w:w="2928" w:type="dxa"/>
            <w:vAlign w:val="bottom"/>
          </w:tcPr>
          <w:p w:rsidR="00916675" w:rsidRPr="00227C94" w:rsidRDefault="00916675" w:rsidP="00291505">
            <w:pPr>
              <w:pStyle w:val="tblText02"/>
              <w:rPr>
                <w:b/>
                <w:lang w:val="en-US"/>
              </w:rPr>
            </w:pPr>
            <w:r w:rsidRPr="00227C94">
              <w:rPr>
                <w:b/>
                <w:lang w:val="en-US"/>
              </w:rPr>
              <w:t>For the year ended</w:t>
            </w:r>
            <w:r w:rsidR="00291505" w:rsidRPr="00227C94">
              <w:rPr>
                <w:b/>
                <w:lang w:val="en-US"/>
              </w:rPr>
              <w:t xml:space="preserve"> </w:t>
            </w:r>
            <w:r w:rsidR="00291505" w:rsidRPr="00227C94">
              <w:rPr>
                <w:b/>
                <w:lang w:val="en-US"/>
              </w:rPr>
              <w:br/>
            </w:r>
            <w:r w:rsidRPr="00227C94">
              <w:rPr>
                <w:b/>
                <w:lang w:val="en-US"/>
              </w:rPr>
              <w:t>31 December 2011</w:t>
            </w:r>
          </w:p>
        </w:tc>
        <w:tc>
          <w:tcPr>
            <w:tcW w:w="1417" w:type="dxa"/>
            <w:vAlign w:val="bottom"/>
          </w:tcPr>
          <w:p w:rsidR="00916675" w:rsidRPr="00227C94" w:rsidRDefault="00916675" w:rsidP="00291505">
            <w:pPr>
              <w:pStyle w:val="tblNumber01"/>
              <w:rPr>
                <w:lang w:val="en-US"/>
              </w:rPr>
            </w:pPr>
          </w:p>
        </w:tc>
        <w:tc>
          <w:tcPr>
            <w:tcW w:w="11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c>
          <w:tcPr>
            <w:tcW w:w="11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c>
          <w:tcPr>
            <w:tcW w:w="11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r>
      <w:tr w:rsidR="00916675" w:rsidRPr="00227C94" w:rsidTr="00291505">
        <w:trPr>
          <w:cantSplit/>
        </w:trPr>
        <w:tc>
          <w:tcPr>
            <w:tcW w:w="2928" w:type="dxa"/>
            <w:vAlign w:val="bottom"/>
          </w:tcPr>
          <w:p w:rsidR="00916675" w:rsidRPr="00227C94" w:rsidRDefault="00916675" w:rsidP="00291505">
            <w:pPr>
              <w:pStyle w:val="tblText02"/>
              <w:rPr>
                <w:lang w:val="en-US"/>
              </w:rPr>
            </w:pPr>
          </w:p>
        </w:tc>
        <w:tc>
          <w:tcPr>
            <w:tcW w:w="1417" w:type="dxa"/>
            <w:vAlign w:val="bottom"/>
          </w:tcPr>
          <w:p w:rsidR="00916675" w:rsidRPr="00227C94" w:rsidRDefault="00916675" w:rsidP="00291505">
            <w:pPr>
              <w:pStyle w:val="tblNumber01"/>
              <w:rPr>
                <w:lang w:val="en-US"/>
              </w:rPr>
            </w:pPr>
          </w:p>
        </w:tc>
        <w:tc>
          <w:tcPr>
            <w:tcW w:w="11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c>
          <w:tcPr>
            <w:tcW w:w="11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c>
          <w:tcPr>
            <w:tcW w:w="11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r>
      <w:tr w:rsidR="00916675" w:rsidRPr="00227C94" w:rsidTr="00291505">
        <w:trPr>
          <w:cantSplit/>
        </w:trPr>
        <w:tc>
          <w:tcPr>
            <w:tcW w:w="2928" w:type="dxa"/>
          </w:tcPr>
          <w:p w:rsidR="00916675" w:rsidRPr="00227C94" w:rsidRDefault="00916675" w:rsidP="00291505">
            <w:pPr>
              <w:pStyle w:val="tblText02"/>
            </w:pPr>
            <w:r w:rsidRPr="00227C94">
              <w:t>Krasnoyarsk business unit</w:t>
            </w:r>
          </w:p>
        </w:tc>
        <w:tc>
          <w:tcPr>
            <w:tcW w:w="1417" w:type="dxa"/>
            <w:vAlign w:val="bottom"/>
          </w:tcPr>
          <w:p w:rsidR="00916675" w:rsidRPr="00227C94" w:rsidRDefault="00916675" w:rsidP="00291505">
            <w:pPr>
              <w:pStyle w:val="tblNumber01"/>
            </w:pPr>
            <w:r w:rsidRPr="00227C94">
              <w:t>1,641,380</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918,078</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236,780</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104,821</w:t>
            </w:r>
          </w:p>
        </w:tc>
      </w:tr>
      <w:tr w:rsidR="00916675" w:rsidRPr="00227C94" w:rsidTr="00291505">
        <w:trPr>
          <w:cantSplit/>
        </w:trPr>
        <w:tc>
          <w:tcPr>
            <w:tcW w:w="2928" w:type="dxa"/>
          </w:tcPr>
          <w:p w:rsidR="00916675" w:rsidRPr="00227C94" w:rsidRDefault="00916675" w:rsidP="00291505">
            <w:pPr>
              <w:pStyle w:val="tblText02"/>
            </w:pPr>
            <w:r w:rsidRPr="00227C94">
              <w:t>Irkutsk alluvial business unit</w:t>
            </w:r>
          </w:p>
        </w:tc>
        <w:tc>
          <w:tcPr>
            <w:tcW w:w="1417" w:type="dxa"/>
            <w:vAlign w:val="bottom"/>
          </w:tcPr>
          <w:p w:rsidR="00916675" w:rsidRPr="00227C94" w:rsidRDefault="00916675" w:rsidP="00291505">
            <w:pPr>
              <w:pStyle w:val="tblNumber01"/>
            </w:pPr>
            <w:r w:rsidRPr="00227C94">
              <w:t>350,213</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102,795</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22,808</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6,550</w:t>
            </w:r>
          </w:p>
        </w:tc>
      </w:tr>
      <w:tr w:rsidR="00916675" w:rsidRPr="00227C94" w:rsidTr="00291505">
        <w:trPr>
          <w:cantSplit/>
        </w:trPr>
        <w:tc>
          <w:tcPr>
            <w:tcW w:w="2928" w:type="dxa"/>
          </w:tcPr>
          <w:p w:rsidR="00916675" w:rsidRPr="00227C94" w:rsidRDefault="00916675" w:rsidP="00291505">
            <w:pPr>
              <w:pStyle w:val="tblText02"/>
            </w:pPr>
            <w:r w:rsidRPr="00227C94">
              <w:t>Yakutsk Kuranakh business unit</w:t>
            </w:r>
          </w:p>
        </w:tc>
        <w:tc>
          <w:tcPr>
            <w:tcW w:w="1417" w:type="dxa"/>
            <w:vAlign w:val="bottom"/>
          </w:tcPr>
          <w:p w:rsidR="00916675" w:rsidRPr="00227C94" w:rsidRDefault="00916675" w:rsidP="00291505">
            <w:pPr>
              <w:pStyle w:val="tblNumber01"/>
            </w:pPr>
            <w:r w:rsidRPr="00227C94">
              <w:t>184,735</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13,797</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12,569</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8,298</w:t>
            </w:r>
          </w:p>
        </w:tc>
      </w:tr>
      <w:tr w:rsidR="00916675" w:rsidRPr="00227C94" w:rsidTr="00291505">
        <w:trPr>
          <w:cantSplit/>
        </w:trPr>
        <w:tc>
          <w:tcPr>
            <w:tcW w:w="2928" w:type="dxa"/>
          </w:tcPr>
          <w:p w:rsidR="00916675" w:rsidRPr="00227C94" w:rsidRDefault="00916675" w:rsidP="00291505">
            <w:pPr>
              <w:pStyle w:val="tblText02"/>
            </w:pPr>
            <w:r w:rsidRPr="00227C94">
              <w:t>Irkutsk ore business unit</w:t>
            </w:r>
          </w:p>
        </w:tc>
        <w:tc>
          <w:tcPr>
            <w:tcW w:w="1417" w:type="dxa"/>
            <w:vAlign w:val="bottom"/>
          </w:tcPr>
          <w:p w:rsidR="00916675" w:rsidRPr="00227C94" w:rsidRDefault="00916675" w:rsidP="00291505">
            <w:pPr>
              <w:pStyle w:val="tblNumber01"/>
            </w:pPr>
            <w:r w:rsidRPr="00227C94">
              <w:t>3,497</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(13,042)</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111,751</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7,307</w:t>
            </w:r>
          </w:p>
        </w:tc>
      </w:tr>
      <w:tr w:rsidR="00916675" w:rsidRPr="00227C94" w:rsidTr="00291505">
        <w:trPr>
          <w:cantSplit/>
        </w:trPr>
        <w:tc>
          <w:tcPr>
            <w:tcW w:w="2928" w:type="dxa"/>
          </w:tcPr>
          <w:p w:rsidR="00916675" w:rsidRPr="00227C94" w:rsidRDefault="00916675" w:rsidP="00291505">
            <w:pPr>
              <w:pStyle w:val="tblText02"/>
            </w:pPr>
            <w:r w:rsidRPr="00227C94">
              <w:t>Exploration business unit</w:t>
            </w:r>
          </w:p>
        </w:tc>
        <w:tc>
          <w:tcPr>
            <w:tcW w:w="1417" w:type="dxa"/>
            <w:vAlign w:val="bottom"/>
          </w:tcPr>
          <w:p w:rsidR="00916675" w:rsidRPr="00227C94" w:rsidRDefault="00916675" w:rsidP="00291505">
            <w:pPr>
              <w:pStyle w:val="tblNumberDash"/>
            </w:pPr>
            <w:r w:rsidRPr="00227C94">
              <w:t>-</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(14,107)</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11,213</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973</w:t>
            </w:r>
          </w:p>
        </w:tc>
      </w:tr>
      <w:tr w:rsidR="00916675" w:rsidRPr="00227C94" w:rsidTr="00A701F4">
        <w:trPr>
          <w:cantSplit/>
        </w:trPr>
        <w:tc>
          <w:tcPr>
            <w:tcW w:w="2928" w:type="dxa"/>
          </w:tcPr>
          <w:p w:rsidR="00916675" w:rsidRPr="00227C94" w:rsidRDefault="00916675" w:rsidP="00291505">
            <w:pPr>
              <w:pStyle w:val="tblText02"/>
            </w:pPr>
            <w:r w:rsidRPr="00227C94">
              <w:t>Kazakhstan business unit</w:t>
            </w:r>
          </w:p>
        </w:tc>
        <w:tc>
          <w:tcPr>
            <w:tcW w:w="1417" w:type="dxa"/>
            <w:vAlign w:val="bottom"/>
          </w:tcPr>
          <w:p w:rsidR="00916675" w:rsidRPr="00227C94" w:rsidRDefault="00916675" w:rsidP="00291505">
            <w:pPr>
              <w:pStyle w:val="tblNumber01"/>
            </w:pPr>
            <w:r w:rsidRPr="00227C94">
              <w:t>160,825</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5,773</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38,583</w:t>
            </w:r>
          </w:p>
        </w:tc>
        <w:tc>
          <w:tcPr>
            <w:tcW w:w="11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14,939</w:t>
            </w:r>
          </w:p>
        </w:tc>
      </w:tr>
      <w:tr w:rsidR="00916675" w:rsidRPr="00227C94" w:rsidTr="00A701F4">
        <w:trPr>
          <w:cantSplit/>
        </w:trPr>
        <w:tc>
          <w:tcPr>
            <w:tcW w:w="2928" w:type="dxa"/>
          </w:tcPr>
          <w:p w:rsidR="00916675" w:rsidRPr="00227C94" w:rsidRDefault="00916675" w:rsidP="00291505">
            <w:pPr>
              <w:pStyle w:val="tblText02"/>
            </w:pPr>
            <w:r w:rsidRPr="00227C94">
              <w:t>Magadan business unit</w:t>
            </w:r>
          </w:p>
        </w:tc>
        <w:tc>
          <w:tcPr>
            <w:tcW w:w="1417" w:type="dxa"/>
            <w:tcBorders>
              <w:bottom w:val="single" w:sz="6" w:space="0" w:color="auto"/>
            </w:tcBorders>
            <w:shd w:val="clear" w:color="auto" w:fill="auto"/>
            <w:vAlign w:val="bottom"/>
          </w:tcPr>
          <w:p w:rsidR="00916675" w:rsidRPr="00227C94" w:rsidRDefault="00916675" w:rsidP="00291505">
            <w:pPr>
              <w:pStyle w:val="tblNumberDash"/>
            </w:pPr>
            <w:r w:rsidRPr="00227C94">
              <w:t>-</w:t>
            </w:r>
          </w:p>
        </w:tc>
        <w:tc>
          <w:tcPr>
            <w:tcW w:w="11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(16,313)</w:t>
            </w:r>
          </w:p>
        </w:tc>
        <w:tc>
          <w:tcPr>
            <w:tcW w:w="11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22,026</w:t>
            </w:r>
          </w:p>
        </w:tc>
        <w:tc>
          <w:tcPr>
            <w:tcW w:w="11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3,784</w:t>
            </w:r>
          </w:p>
        </w:tc>
      </w:tr>
      <w:tr w:rsidR="00916675" w:rsidRPr="00227C94" w:rsidTr="00A701F4">
        <w:trPr>
          <w:cantSplit/>
        </w:trPr>
        <w:tc>
          <w:tcPr>
            <w:tcW w:w="2928" w:type="dxa"/>
            <w:vAlign w:val="bottom"/>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11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2928" w:type="dxa"/>
            <w:vAlign w:val="bottom"/>
          </w:tcPr>
          <w:p w:rsidR="00916675" w:rsidRPr="00227C94" w:rsidRDefault="00916675" w:rsidP="00291505">
            <w:pPr>
              <w:pStyle w:val="tblText02"/>
              <w:rPr>
                <w:b/>
              </w:rPr>
            </w:pPr>
            <w:r w:rsidRPr="00227C94">
              <w:rPr>
                <w:b/>
              </w:rPr>
              <w:t>Segment result</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2,340,650</w:t>
            </w:r>
          </w:p>
        </w:tc>
        <w:tc>
          <w:tcPr>
            <w:tcW w:w="11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996,981</w:t>
            </w:r>
          </w:p>
        </w:tc>
        <w:tc>
          <w:tcPr>
            <w:tcW w:w="11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455,730</w:t>
            </w:r>
          </w:p>
        </w:tc>
        <w:tc>
          <w:tcPr>
            <w:tcW w:w="11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146,672</w:t>
            </w:r>
          </w:p>
        </w:tc>
      </w:tr>
    </w:tbl>
    <w:p w:rsidR="00916675" w:rsidRPr="00227C94" w:rsidRDefault="00916675" w:rsidP="00291505">
      <w:pPr>
        <w:pStyle w:val="23"/>
        <w:rPr>
          <w:color w:val="auto"/>
        </w:rPr>
      </w:pPr>
    </w:p>
    <w:p w:rsidR="00916675" w:rsidRPr="00227C94" w:rsidRDefault="00916675" w:rsidP="00291505">
      <w:pPr>
        <w:pStyle w:val="23"/>
        <w:rPr>
          <w:color w:val="auto"/>
        </w:rPr>
      </w:pPr>
    </w:p>
    <w:p w:rsidR="00916675" w:rsidRPr="00227C94" w:rsidRDefault="00916675" w:rsidP="00291505">
      <w:pPr>
        <w:pStyle w:val="23"/>
        <w:rPr>
          <w:color w:val="auto"/>
          <w:lang w:val="en-US"/>
        </w:rPr>
      </w:pPr>
      <w:r w:rsidRPr="00227C94">
        <w:rPr>
          <w:color w:val="auto"/>
          <w:lang w:val="en-US"/>
        </w:rPr>
        <w:t xml:space="preserve">Gold sales reported above represent revenue generated from external customers. There were no inter-segment gold sales during the periods ended 30 June 2012 and 2011 and the year ended </w:t>
      </w:r>
      <w:r w:rsidR="00291505" w:rsidRPr="00227C94">
        <w:rPr>
          <w:color w:val="auto"/>
          <w:lang w:val="en-US"/>
        </w:rPr>
        <w:br/>
      </w:r>
      <w:r w:rsidRPr="00227C94">
        <w:rPr>
          <w:color w:val="auto"/>
          <w:lang w:val="en-US"/>
        </w:rPr>
        <w:t>31 December 2011.</w:t>
      </w:r>
    </w:p>
    <w:p w:rsidR="00916675" w:rsidRPr="00227C94" w:rsidRDefault="00916675" w:rsidP="00291505">
      <w:pPr>
        <w:pStyle w:val="23"/>
        <w:rPr>
          <w:color w:val="auto"/>
          <w:lang w:val="en-US"/>
        </w:rPr>
      </w:pPr>
    </w:p>
    <w:p w:rsidR="00916675" w:rsidRPr="00227C94" w:rsidRDefault="00916675" w:rsidP="00291505">
      <w:pPr>
        <w:pStyle w:val="23"/>
        <w:rPr>
          <w:color w:val="auto"/>
          <w:lang w:val="en-US"/>
        </w:rPr>
      </w:pPr>
    </w:p>
    <w:p w:rsidR="00916675" w:rsidRPr="00227C94" w:rsidRDefault="00916675" w:rsidP="00291505">
      <w:pPr>
        <w:pStyle w:val="a4"/>
        <w:pageBreakBefore/>
        <w:tabs>
          <w:tab w:val="left" w:pos="476"/>
        </w:tabs>
        <w:rPr>
          <w:b/>
          <w:lang w:val="en-US"/>
        </w:rPr>
      </w:pPr>
      <w:r w:rsidRPr="00227C94">
        <w:rPr>
          <w:b/>
          <w:lang w:val="en-US"/>
        </w:rPr>
        <w:lastRenderedPageBreak/>
        <w:t>4.</w:t>
      </w:r>
      <w:r w:rsidRPr="00227C94">
        <w:rPr>
          <w:b/>
          <w:lang w:val="en-US"/>
        </w:rPr>
        <w:tab/>
        <w:t xml:space="preserve">SEGMENT INFORMATION </w:t>
      </w:r>
      <w:r w:rsidRPr="00227C94">
        <w:rPr>
          <w:caps/>
          <w:lang w:val="en-US"/>
        </w:rPr>
        <w:t>(</w:t>
      </w:r>
      <w:r w:rsidRPr="00227C94">
        <w:rPr>
          <w:b/>
          <w:lang w:val="en-US"/>
        </w:rPr>
        <w:t>continued</w:t>
      </w:r>
      <w:r w:rsidRPr="00227C94">
        <w:rPr>
          <w:caps/>
          <w:lang w:val="en-US"/>
        </w:rPr>
        <w:t>)</w:t>
      </w:r>
    </w:p>
    <w:p w:rsidR="00916675" w:rsidRPr="00227C94" w:rsidRDefault="00916675" w:rsidP="00291505">
      <w:pPr>
        <w:pStyle w:val="23"/>
        <w:rPr>
          <w:color w:val="auto"/>
          <w:lang w:val="en-US"/>
        </w:rPr>
      </w:pPr>
    </w:p>
    <w:p w:rsidR="00916675" w:rsidRPr="00227C94" w:rsidRDefault="00916675" w:rsidP="00291505">
      <w:pPr>
        <w:pStyle w:val="23"/>
        <w:rPr>
          <w:color w:val="auto"/>
          <w:lang w:val="en-US"/>
        </w:rPr>
      </w:pPr>
      <w:r w:rsidRPr="00227C94">
        <w:rPr>
          <w:color w:val="auto"/>
          <w:lang w:val="en-US"/>
        </w:rPr>
        <w:t>The segment measure of profit</w:t>
      </w:r>
      <w:proofErr w:type="gramStart"/>
      <w:r w:rsidRPr="00227C94">
        <w:rPr>
          <w:color w:val="auto"/>
          <w:lang w:val="en-US"/>
        </w:rPr>
        <w:t>/(</w:t>
      </w:r>
      <w:proofErr w:type="gramEnd"/>
      <w:r w:rsidRPr="00227C94">
        <w:rPr>
          <w:color w:val="auto"/>
          <w:lang w:val="en-US"/>
        </w:rPr>
        <w:t>loss) reconciles to the IFRS profit before income tax as follows:</w:t>
      </w:r>
    </w:p>
    <w:p w:rsidR="00916675" w:rsidRPr="00227C94" w:rsidRDefault="00916675" w:rsidP="00291505">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291505">
            <w:pPr>
              <w:pStyle w:val="tblHeaderText"/>
              <w:jc w:val="left"/>
              <w:rPr>
                <w:lang w:val="en-US"/>
              </w:rPr>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 xml:space="preserve">Six months ended </w:t>
            </w:r>
            <w:r w:rsidR="00291505" w:rsidRPr="00227C94">
              <w:rPr>
                <w:lang w:val="en-US"/>
              </w:rPr>
              <w:br/>
            </w:r>
            <w:r w:rsidRPr="00227C94">
              <w:t>30 June 2012</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 xml:space="preserve">Six months ended </w:t>
            </w:r>
            <w:r w:rsidR="00291505" w:rsidRPr="00227C94">
              <w:rPr>
                <w:lang w:val="en-US"/>
              </w:rPr>
              <w:br/>
            </w:r>
            <w:r w:rsidRPr="00227C94">
              <w:t>30 June 2011</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tcPr>
          <w:p w:rsidR="00916675" w:rsidRPr="00227C94" w:rsidRDefault="00916675" w:rsidP="00291505">
            <w:pPr>
              <w:pStyle w:val="tblHeaderText"/>
            </w:pPr>
            <w:r w:rsidRPr="00227C94">
              <w:t>Year ended</w:t>
            </w:r>
          </w:p>
          <w:p w:rsidR="00916675" w:rsidRPr="00227C94" w:rsidRDefault="00916675" w:rsidP="00291505">
            <w:pPr>
              <w:pStyle w:val="tblHeaderText"/>
            </w:pPr>
            <w:r w:rsidRPr="00227C94">
              <w:t>31 December 2011</w:t>
            </w:r>
          </w:p>
        </w:tc>
      </w:tr>
      <w:tr w:rsidR="00916675" w:rsidRPr="00227C94" w:rsidTr="00291505">
        <w:trPr>
          <w:cantSplit/>
          <w:trHeight w:hRule="exact" w:val="113"/>
        </w:trPr>
        <w:tc>
          <w:tcPr>
            <w:tcW w:w="4118" w:type="dxa"/>
            <w:vAlign w:val="bottom"/>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rPr>
            </w:pPr>
            <w:r w:rsidRPr="00227C94">
              <w:rPr>
                <w:b/>
              </w:rPr>
              <w:t>Segment result</w:t>
            </w:r>
          </w:p>
        </w:tc>
        <w:tc>
          <w:tcPr>
            <w:tcW w:w="1417" w:type="dxa"/>
            <w:vAlign w:val="bottom"/>
          </w:tcPr>
          <w:p w:rsidR="00916675" w:rsidRPr="00227C94" w:rsidRDefault="00916675" w:rsidP="00291505">
            <w:pPr>
              <w:pStyle w:val="tblNumber01"/>
              <w:rPr>
                <w:b/>
              </w:rPr>
            </w:pPr>
            <w:r w:rsidRPr="00227C94">
              <w:rPr>
                <w:b/>
              </w:rPr>
              <w:t>524,693</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rPr>
                <w:b/>
              </w:rPr>
            </w:pPr>
            <w:r w:rsidRPr="00227C94">
              <w:rPr>
                <w:b/>
              </w:rPr>
              <w:t>336,582</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rPr>
                <w:b/>
              </w:rPr>
            </w:pPr>
            <w:r w:rsidRPr="00227C94">
              <w:rPr>
                <w:b/>
              </w:rPr>
              <w:t>996,981</w:t>
            </w:r>
          </w:p>
        </w:tc>
      </w:tr>
      <w:tr w:rsidR="00916675" w:rsidRPr="00227C94" w:rsidTr="00291505">
        <w:trPr>
          <w:cantSplit/>
          <w:trHeight w:hRule="exact" w:val="113"/>
        </w:trPr>
        <w:tc>
          <w:tcPr>
            <w:tcW w:w="4118" w:type="dxa"/>
          </w:tcPr>
          <w:p w:rsidR="00916675" w:rsidRPr="00227C94" w:rsidRDefault="00916675" w:rsidP="00291505">
            <w:pPr>
              <w:pStyle w:val="tblText02"/>
            </w:pPr>
          </w:p>
        </w:tc>
        <w:tc>
          <w:tcPr>
            <w:tcW w:w="1417" w:type="dxa"/>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i/>
                <w:lang w:val="en-US"/>
              </w:rPr>
            </w:pPr>
            <w:r w:rsidRPr="00227C94">
              <w:rPr>
                <w:i/>
                <w:lang w:val="en-US"/>
              </w:rPr>
              <w:t>Differences between IFRS and management accounts:</w:t>
            </w:r>
          </w:p>
        </w:tc>
        <w:tc>
          <w:tcPr>
            <w:tcW w:w="1417" w:type="dxa"/>
            <w:vAlign w:val="bottom"/>
          </w:tcPr>
          <w:p w:rsidR="00916675" w:rsidRPr="00227C94" w:rsidRDefault="00916675" w:rsidP="00291505">
            <w:pPr>
              <w:pStyle w:val="tblNumber01"/>
              <w:rPr>
                <w:lang w:val="en-US"/>
              </w:rPr>
            </w:pPr>
          </w:p>
        </w:tc>
        <w:tc>
          <w:tcPr>
            <w:tcW w:w="28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c>
          <w:tcPr>
            <w:tcW w:w="28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r>
      <w:tr w:rsidR="00916675" w:rsidRPr="00227C94" w:rsidTr="00291505">
        <w:trPr>
          <w:cantSplit/>
        </w:trPr>
        <w:tc>
          <w:tcPr>
            <w:tcW w:w="4118" w:type="dxa"/>
          </w:tcPr>
          <w:p w:rsidR="00916675" w:rsidRPr="00227C94" w:rsidRDefault="00916675" w:rsidP="00291505">
            <w:pPr>
              <w:pStyle w:val="tblText02"/>
            </w:pPr>
            <w:r w:rsidRPr="00227C94">
              <w:t>Capitalised exploration works</w:t>
            </w:r>
          </w:p>
        </w:tc>
        <w:tc>
          <w:tcPr>
            <w:tcW w:w="1417" w:type="dxa"/>
            <w:vAlign w:val="bottom"/>
          </w:tcPr>
          <w:p w:rsidR="00916675" w:rsidRPr="00227C94" w:rsidRDefault="00916675" w:rsidP="00291505">
            <w:pPr>
              <w:pStyle w:val="tblNumber01"/>
            </w:pPr>
            <w:r w:rsidRPr="00227C94">
              <w:t>20,750</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3,368</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(206)</w:t>
            </w:r>
          </w:p>
        </w:tc>
      </w:tr>
      <w:tr w:rsidR="00916675" w:rsidRPr="00227C94" w:rsidTr="00291505">
        <w:trPr>
          <w:cantSplit/>
        </w:trPr>
        <w:tc>
          <w:tcPr>
            <w:tcW w:w="4118" w:type="dxa"/>
          </w:tcPr>
          <w:p w:rsidR="00916675" w:rsidRPr="00227C94" w:rsidRDefault="00916675" w:rsidP="00291505">
            <w:pPr>
              <w:pStyle w:val="tblText02"/>
            </w:pPr>
            <w:r w:rsidRPr="00227C94">
              <w:t>Provisions and accruals</w:t>
            </w:r>
          </w:p>
        </w:tc>
        <w:tc>
          <w:tcPr>
            <w:tcW w:w="1417" w:type="dxa"/>
            <w:vAlign w:val="bottom"/>
          </w:tcPr>
          <w:p w:rsidR="00916675" w:rsidRPr="00227C94" w:rsidRDefault="00916675" w:rsidP="00291505">
            <w:pPr>
              <w:pStyle w:val="tblNumber00"/>
            </w:pPr>
            <w:r w:rsidRPr="00227C94">
              <w:t>(2,383)</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(17,995)</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(49,109)</w:t>
            </w:r>
          </w:p>
        </w:tc>
      </w:tr>
      <w:tr w:rsidR="00916675" w:rsidRPr="00227C94" w:rsidTr="00291505">
        <w:trPr>
          <w:cantSplit/>
        </w:trPr>
        <w:tc>
          <w:tcPr>
            <w:tcW w:w="4118" w:type="dxa"/>
          </w:tcPr>
          <w:p w:rsidR="00916675" w:rsidRPr="00227C94" w:rsidRDefault="00916675" w:rsidP="00291505">
            <w:pPr>
              <w:pStyle w:val="tblText02"/>
              <w:rPr>
                <w:lang w:val="en-US"/>
              </w:rPr>
            </w:pPr>
            <w:r w:rsidRPr="00227C94">
              <w:rPr>
                <w:lang w:val="en-US"/>
              </w:rPr>
              <w:t>Additional depreciation charge and amortisation of mineral rights</w:t>
            </w:r>
          </w:p>
        </w:tc>
        <w:tc>
          <w:tcPr>
            <w:tcW w:w="1417" w:type="dxa"/>
            <w:vAlign w:val="bottom"/>
          </w:tcPr>
          <w:p w:rsidR="00916675" w:rsidRPr="00227C94" w:rsidRDefault="00916675" w:rsidP="00291505">
            <w:pPr>
              <w:pStyle w:val="tblNumber00"/>
            </w:pPr>
            <w:r w:rsidRPr="00227C94">
              <w:t>(15,141)</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(28,046)</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(41,277)</w:t>
            </w:r>
          </w:p>
        </w:tc>
      </w:tr>
      <w:tr w:rsidR="00916675" w:rsidRPr="00227C94" w:rsidTr="00291505">
        <w:trPr>
          <w:cantSplit/>
        </w:trPr>
        <w:tc>
          <w:tcPr>
            <w:tcW w:w="4118" w:type="dxa"/>
          </w:tcPr>
          <w:p w:rsidR="00916675" w:rsidRPr="00227C94" w:rsidRDefault="00916675" w:rsidP="00291505">
            <w:pPr>
              <w:pStyle w:val="tblText02"/>
              <w:rPr>
                <w:lang w:val="en-US"/>
              </w:rPr>
            </w:pPr>
            <w:r w:rsidRPr="00227C94">
              <w:rPr>
                <w:lang w:val="en-US"/>
              </w:rPr>
              <w:t>Calculation of gold-in-process at net production cost</w:t>
            </w:r>
          </w:p>
        </w:tc>
        <w:tc>
          <w:tcPr>
            <w:tcW w:w="1417" w:type="dxa"/>
            <w:vAlign w:val="bottom"/>
          </w:tcPr>
          <w:p w:rsidR="00916675" w:rsidRPr="00227C94" w:rsidRDefault="00916675" w:rsidP="00291505">
            <w:pPr>
              <w:pStyle w:val="tblNumber01"/>
            </w:pPr>
            <w:r w:rsidRPr="00227C94">
              <w:t>12,361</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(28,882)</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(31,918)</w:t>
            </w:r>
          </w:p>
        </w:tc>
      </w:tr>
      <w:tr w:rsidR="00916675" w:rsidRPr="00227C94" w:rsidTr="00A701F4">
        <w:trPr>
          <w:cantSplit/>
        </w:trPr>
        <w:tc>
          <w:tcPr>
            <w:tcW w:w="4118" w:type="dxa"/>
          </w:tcPr>
          <w:p w:rsidR="00916675" w:rsidRPr="00227C94" w:rsidRDefault="00916675" w:rsidP="00291505">
            <w:pPr>
              <w:pStyle w:val="tblText02"/>
              <w:rPr>
                <w:lang w:val="en-US"/>
              </w:rPr>
            </w:pPr>
            <w:r w:rsidRPr="00227C94">
              <w:rPr>
                <w:lang w:val="en-US"/>
              </w:rPr>
              <w:t>Difference in stripping costs capitalisation</w:t>
            </w:r>
          </w:p>
        </w:tc>
        <w:tc>
          <w:tcPr>
            <w:tcW w:w="1417" w:type="dxa"/>
            <w:vAlign w:val="bottom"/>
          </w:tcPr>
          <w:p w:rsidR="00916675" w:rsidRPr="00227C94" w:rsidRDefault="00916675" w:rsidP="00291505">
            <w:pPr>
              <w:pStyle w:val="tblNumber01"/>
            </w:pPr>
            <w:r w:rsidRPr="00227C94">
              <w:t>5,058</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(3,812)</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20,711</w:t>
            </w:r>
          </w:p>
        </w:tc>
      </w:tr>
      <w:tr w:rsidR="00916675" w:rsidRPr="00227C94" w:rsidTr="00A701F4">
        <w:trPr>
          <w:cantSplit/>
        </w:trPr>
        <w:tc>
          <w:tcPr>
            <w:tcW w:w="4118" w:type="dxa"/>
          </w:tcPr>
          <w:p w:rsidR="00916675" w:rsidRPr="00227C94" w:rsidRDefault="00916675" w:rsidP="00291505">
            <w:pPr>
              <w:pStyle w:val="tblText02"/>
            </w:pPr>
            <w:r w:rsidRPr="00227C94">
              <w:t>Other</w:t>
            </w: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904</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(1,264)</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(3,219)</w:t>
            </w:r>
          </w:p>
        </w:tc>
      </w:tr>
      <w:tr w:rsidR="00916675" w:rsidRPr="00227C94" w:rsidTr="00291505">
        <w:trPr>
          <w:cantSplit/>
          <w:trHeight w:hRule="exact" w:val="113"/>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A701F4">
        <w:trPr>
          <w:cantSplit/>
        </w:trPr>
        <w:tc>
          <w:tcPr>
            <w:tcW w:w="4118" w:type="dxa"/>
          </w:tcPr>
          <w:p w:rsidR="00916675" w:rsidRPr="00227C94" w:rsidRDefault="00916675" w:rsidP="00291505">
            <w:pPr>
              <w:pStyle w:val="tblText02"/>
            </w:pPr>
            <w:r w:rsidRPr="00227C94">
              <w:t>Adjusted segment result</w:t>
            </w:r>
          </w:p>
        </w:tc>
        <w:tc>
          <w:tcPr>
            <w:tcW w:w="1417" w:type="dxa"/>
            <w:vAlign w:val="bottom"/>
          </w:tcPr>
          <w:p w:rsidR="00916675" w:rsidRPr="00227C94" w:rsidRDefault="00916675" w:rsidP="00291505">
            <w:pPr>
              <w:pStyle w:val="tblNumber01"/>
              <w:rPr>
                <w:b/>
              </w:rPr>
            </w:pPr>
            <w:r w:rsidRPr="00227C94">
              <w:rPr>
                <w:b/>
              </w:rPr>
              <w:t>546,242</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rPr>
                <w:b/>
              </w:rPr>
            </w:pPr>
            <w:r w:rsidRPr="00227C94">
              <w:rPr>
                <w:b/>
              </w:rPr>
              <w:t>259,951</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rPr>
                <w:b/>
              </w:rPr>
            </w:pPr>
            <w:r w:rsidRPr="00227C94">
              <w:rPr>
                <w:b/>
              </w:rPr>
              <w:t>891,963</w:t>
            </w:r>
          </w:p>
        </w:tc>
      </w:tr>
      <w:tr w:rsidR="00916675" w:rsidRPr="00227C94" w:rsidTr="00A701F4">
        <w:trPr>
          <w:cantSplit/>
        </w:trPr>
        <w:tc>
          <w:tcPr>
            <w:tcW w:w="4118" w:type="dxa"/>
          </w:tcPr>
          <w:p w:rsidR="00916675" w:rsidRPr="00227C94" w:rsidRDefault="00916675" w:rsidP="00291505">
            <w:pPr>
              <w:pStyle w:val="tblText02"/>
              <w:rPr>
                <w:lang w:val="en-US"/>
              </w:rPr>
            </w:pPr>
            <w:r w:rsidRPr="00227C94">
              <w:rPr>
                <w:lang w:val="en-US"/>
              </w:rPr>
              <w:t>Unallocated central costs, results of financing and investing activities and differences in accounting treatment under IFRS</w:t>
            </w: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(7,320)</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7,249</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(126,896)</w:t>
            </w:r>
          </w:p>
        </w:tc>
      </w:tr>
      <w:tr w:rsidR="00916675" w:rsidRPr="00227C94" w:rsidTr="00A701F4">
        <w:trPr>
          <w:cantSplit/>
          <w:trHeight w:hRule="exact" w:val="113"/>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A701F4">
        <w:trPr>
          <w:cantSplit/>
        </w:trPr>
        <w:tc>
          <w:tcPr>
            <w:tcW w:w="4118" w:type="dxa"/>
          </w:tcPr>
          <w:p w:rsidR="00916675" w:rsidRPr="00227C94" w:rsidRDefault="00916675" w:rsidP="00291505">
            <w:pPr>
              <w:pStyle w:val="tblText02"/>
              <w:rPr>
                <w:b/>
              </w:rPr>
            </w:pPr>
            <w:r w:rsidRPr="00227C94">
              <w:rPr>
                <w:b/>
              </w:rPr>
              <w:t>Profit before income tax</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538,922</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267,200</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765,067</w:t>
            </w:r>
          </w:p>
        </w:tc>
      </w:tr>
      <w:tr w:rsidR="00916675" w:rsidRPr="00227C94" w:rsidTr="00291505">
        <w:trPr>
          <w:cantSplit/>
          <w:trHeight w:hRule="exact" w:val="113"/>
        </w:trPr>
        <w:tc>
          <w:tcPr>
            <w:tcW w:w="4118" w:type="dxa"/>
          </w:tcPr>
          <w:p w:rsidR="00916675" w:rsidRPr="00227C94" w:rsidRDefault="00916675" w:rsidP="00291505">
            <w:pPr>
              <w:pStyle w:val="tblText02"/>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rPr>
            </w:pPr>
            <w:r w:rsidRPr="00227C94">
              <w:rPr>
                <w:b/>
              </w:rPr>
              <w:t>Segment capital expenditures</w:t>
            </w:r>
          </w:p>
        </w:tc>
        <w:tc>
          <w:tcPr>
            <w:tcW w:w="1417" w:type="dxa"/>
            <w:vAlign w:val="bottom"/>
          </w:tcPr>
          <w:p w:rsidR="00916675" w:rsidRPr="00227C94" w:rsidRDefault="00916675" w:rsidP="00291505">
            <w:pPr>
              <w:pStyle w:val="tblNumber01"/>
              <w:rPr>
                <w:b/>
              </w:rPr>
            </w:pPr>
            <w:r w:rsidRPr="00227C94">
              <w:rPr>
                <w:b/>
              </w:rPr>
              <w:t>297,130</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rPr>
                <w:b/>
              </w:rPr>
            </w:pPr>
            <w:r w:rsidRPr="00227C94">
              <w:rPr>
                <w:b/>
              </w:rPr>
              <w:t>183,148</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rPr>
                <w:b/>
              </w:rPr>
            </w:pPr>
            <w:r w:rsidRPr="00227C94">
              <w:rPr>
                <w:b/>
              </w:rPr>
              <w:t>455,730</w:t>
            </w:r>
          </w:p>
        </w:tc>
      </w:tr>
      <w:tr w:rsidR="00916675" w:rsidRPr="00227C94" w:rsidTr="00291505">
        <w:trPr>
          <w:cantSplit/>
          <w:trHeight w:hRule="exact" w:val="113"/>
        </w:trPr>
        <w:tc>
          <w:tcPr>
            <w:tcW w:w="4118" w:type="dxa"/>
          </w:tcPr>
          <w:p w:rsidR="00916675" w:rsidRPr="00227C94" w:rsidRDefault="00916675" w:rsidP="00291505">
            <w:pPr>
              <w:pStyle w:val="tblText02"/>
            </w:pPr>
          </w:p>
        </w:tc>
        <w:tc>
          <w:tcPr>
            <w:tcW w:w="1417" w:type="dxa"/>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i/>
                <w:lang w:val="en-US"/>
              </w:rPr>
            </w:pPr>
            <w:r w:rsidRPr="00227C94">
              <w:rPr>
                <w:i/>
                <w:lang w:val="en-US"/>
              </w:rPr>
              <w:t>Differences between IFRS and management accounts:</w:t>
            </w:r>
          </w:p>
        </w:tc>
        <w:tc>
          <w:tcPr>
            <w:tcW w:w="1417" w:type="dxa"/>
            <w:vAlign w:val="bottom"/>
          </w:tcPr>
          <w:p w:rsidR="00916675" w:rsidRPr="00227C94" w:rsidRDefault="00916675" w:rsidP="00291505">
            <w:pPr>
              <w:pStyle w:val="tblNumber01"/>
              <w:rPr>
                <w:lang w:val="en-US"/>
              </w:rPr>
            </w:pPr>
          </w:p>
        </w:tc>
        <w:tc>
          <w:tcPr>
            <w:tcW w:w="28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c>
          <w:tcPr>
            <w:tcW w:w="28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r>
      <w:tr w:rsidR="00916675" w:rsidRPr="00227C94" w:rsidTr="00291505">
        <w:trPr>
          <w:cantSplit/>
        </w:trPr>
        <w:tc>
          <w:tcPr>
            <w:tcW w:w="4118" w:type="dxa"/>
          </w:tcPr>
          <w:p w:rsidR="00916675" w:rsidRPr="00227C94" w:rsidRDefault="00916675" w:rsidP="00291505">
            <w:pPr>
              <w:pStyle w:val="tblText02"/>
              <w:rPr>
                <w:lang w:val="en-US"/>
              </w:rPr>
            </w:pPr>
            <w:r w:rsidRPr="00227C94">
              <w:rPr>
                <w:lang w:val="en-US"/>
              </w:rPr>
              <w:t>Differences at the moment of recognition of capital expenditures</w:t>
            </w:r>
          </w:p>
        </w:tc>
        <w:tc>
          <w:tcPr>
            <w:tcW w:w="1417" w:type="dxa"/>
            <w:vAlign w:val="bottom"/>
          </w:tcPr>
          <w:p w:rsidR="00916675" w:rsidRPr="00227C94" w:rsidRDefault="00916675" w:rsidP="00291505">
            <w:pPr>
              <w:pStyle w:val="tblNumber01"/>
            </w:pPr>
            <w:r w:rsidRPr="00227C94">
              <w:t>8,081</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(11,653)</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(85,268)</w:t>
            </w:r>
          </w:p>
        </w:tc>
      </w:tr>
      <w:tr w:rsidR="00916675" w:rsidRPr="00227C94" w:rsidTr="00291505">
        <w:trPr>
          <w:cantSplit/>
        </w:trPr>
        <w:tc>
          <w:tcPr>
            <w:tcW w:w="4118" w:type="dxa"/>
          </w:tcPr>
          <w:p w:rsidR="00916675" w:rsidRPr="00227C94" w:rsidRDefault="00916675" w:rsidP="00291505">
            <w:pPr>
              <w:pStyle w:val="tblText02"/>
              <w:rPr>
                <w:lang w:val="en-US"/>
              </w:rPr>
            </w:pPr>
            <w:r w:rsidRPr="00227C94">
              <w:rPr>
                <w:lang w:val="en-US"/>
              </w:rPr>
              <w:t>Reclassification of advances paid for property, plant and equipment and construction works</w:t>
            </w:r>
          </w:p>
        </w:tc>
        <w:tc>
          <w:tcPr>
            <w:tcW w:w="1417" w:type="dxa"/>
            <w:vAlign w:val="bottom"/>
          </w:tcPr>
          <w:p w:rsidR="00916675" w:rsidRPr="00227C94" w:rsidRDefault="00916675" w:rsidP="00291505">
            <w:pPr>
              <w:pStyle w:val="tblNumber00"/>
            </w:pPr>
            <w:r w:rsidRPr="00227C94">
              <w:t>(5,455)</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(10,365)</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20,148</w:t>
            </w:r>
          </w:p>
        </w:tc>
      </w:tr>
      <w:tr w:rsidR="00916675" w:rsidRPr="00227C94" w:rsidTr="00291505">
        <w:trPr>
          <w:cantSplit/>
        </w:trPr>
        <w:tc>
          <w:tcPr>
            <w:tcW w:w="4118" w:type="dxa"/>
          </w:tcPr>
          <w:p w:rsidR="00916675" w:rsidRPr="00227C94" w:rsidRDefault="00916675" w:rsidP="00291505">
            <w:pPr>
              <w:pStyle w:val="tblText02"/>
              <w:rPr>
                <w:lang w:val="en-US"/>
              </w:rPr>
            </w:pPr>
            <w:r w:rsidRPr="00227C94">
              <w:rPr>
                <w:lang w:val="en-US"/>
              </w:rPr>
              <w:t>Reclassification of materials related to construction works</w:t>
            </w:r>
          </w:p>
        </w:tc>
        <w:tc>
          <w:tcPr>
            <w:tcW w:w="1417" w:type="dxa"/>
            <w:vAlign w:val="bottom"/>
          </w:tcPr>
          <w:p w:rsidR="00916675" w:rsidRPr="00227C94" w:rsidRDefault="00916675" w:rsidP="00291505">
            <w:pPr>
              <w:pStyle w:val="tblNumber01"/>
            </w:pPr>
            <w:r w:rsidRPr="00227C94">
              <w:t>21,511</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4,455</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(9,322)</w:t>
            </w:r>
          </w:p>
        </w:tc>
      </w:tr>
      <w:tr w:rsidR="00916675" w:rsidRPr="00227C94" w:rsidTr="00A701F4">
        <w:trPr>
          <w:cantSplit/>
        </w:trPr>
        <w:tc>
          <w:tcPr>
            <w:tcW w:w="4118" w:type="dxa"/>
          </w:tcPr>
          <w:p w:rsidR="00916675" w:rsidRPr="00227C94" w:rsidRDefault="00916675" w:rsidP="00291505">
            <w:pPr>
              <w:pStyle w:val="tblText02"/>
              <w:rPr>
                <w:lang w:val="en-US"/>
              </w:rPr>
            </w:pPr>
            <w:r w:rsidRPr="00227C94">
              <w:rPr>
                <w:lang w:val="en-US"/>
              </w:rPr>
              <w:t>Differences in capitalised exploration and evaluation costs</w:t>
            </w:r>
          </w:p>
        </w:tc>
        <w:tc>
          <w:tcPr>
            <w:tcW w:w="1417" w:type="dxa"/>
            <w:vAlign w:val="bottom"/>
          </w:tcPr>
          <w:p w:rsidR="00916675" w:rsidRPr="00227C94" w:rsidRDefault="00916675" w:rsidP="00291505">
            <w:pPr>
              <w:pStyle w:val="tblNumber01"/>
            </w:pPr>
            <w:r w:rsidRPr="00227C94">
              <w:t>4,429</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16,417</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(12,635)</w:t>
            </w:r>
          </w:p>
        </w:tc>
      </w:tr>
      <w:tr w:rsidR="00916675" w:rsidRPr="00227C94" w:rsidTr="00A701F4">
        <w:trPr>
          <w:cantSplit/>
        </w:trPr>
        <w:tc>
          <w:tcPr>
            <w:tcW w:w="4118" w:type="dxa"/>
          </w:tcPr>
          <w:p w:rsidR="00916675" w:rsidRPr="00227C94" w:rsidRDefault="00916675" w:rsidP="00291505">
            <w:pPr>
              <w:pStyle w:val="tblText02"/>
            </w:pPr>
            <w:r w:rsidRPr="00227C94">
              <w:t>Other</w:t>
            </w: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2,877</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(1,397)</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(1,821)</w:t>
            </w:r>
          </w:p>
        </w:tc>
      </w:tr>
      <w:tr w:rsidR="00916675" w:rsidRPr="00227C94" w:rsidTr="00291505">
        <w:trPr>
          <w:cantSplit/>
          <w:trHeight w:hRule="exact" w:val="113"/>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A701F4">
        <w:trPr>
          <w:cantSplit/>
        </w:trPr>
        <w:tc>
          <w:tcPr>
            <w:tcW w:w="4118" w:type="dxa"/>
          </w:tcPr>
          <w:p w:rsidR="00916675" w:rsidRPr="00227C94" w:rsidRDefault="00916675" w:rsidP="00291505">
            <w:pPr>
              <w:pStyle w:val="tblText02"/>
            </w:pPr>
            <w:r w:rsidRPr="00227C94">
              <w:t>Adjusted segment capital expenditure</w:t>
            </w:r>
          </w:p>
        </w:tc>
        <w:tc>
          <w:tcPr>
            <w:tcW w:w="1417" w:type="dxa"/>
            <w:vAlign w:val="bottom"/>
          </w:tcPr>
          <w:p w:rsidR="00916675" w:rsidRPr="00227C94" w:rsidRDefault="00916675" w:rsidP="00291505">
            <w:pPr>
              <w:pStyle w:val="tblNumber01"/>
            </w:pPr>
            <w:r w:rsidRPr="00227C94">
              <w:t>328,573</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180,605</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366,832</w:t>
            </w:r>
          </w:p>
        </w:tc>
      </w:tr>
      <w:tr w:rsidR="00916675" w:rsidRPr="00227C94" w:rsidTr="00A701F4">
        <w:trPr>
          <w:cantSplit/>
        </w:trPr>
        <w:tc>
          <w:tcPr>
            <w:tcW w:w="4118" w:type="dxa"/>
          </w:tcPr>
          <w:p w:rsidR="00916675" w:rsidRPr="00227C94" w:rsidRDefault="00916675" w:rsidP="00291505">
            <w:pPr>
              <w:pStyle w:val="tblText02"/>
            </w:pPr>
            <w:r w:rsidRPr="00227C94">
              <w:t>Unallocated central capital expenditures</w:t>
            </w: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1,669</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525</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1,307</w:t>
            </w:r>
          </w:p>
        </w:tc>
      </w:tr>
      <w:tr w:rsidR="00916675" w:rsidRPr="00227C94" w:rsidTr="00A701F4">
        <w:trPr>
          <w:cantSplit/>
          <w:trHeight w:hRule="exact" w:val="113"/>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A701F4">
        <w:trPr>
          <w:cantSplit/>
        </w:trPr>
        <w:tc>
          <w:tcPr>
            <w:tcW w:w="4118" w:type="dxa"/>
          </w:tcPr>
          <w:p w:rsidR="00916675" w:rsidRPr="00227C94" w:rsidRDefault="00916675" w:rsidP="00291505">
            <w:pPr>
              <w:pStyle w:val="tblText02"/>
              <w:rPr>
                <w:b/>
              </w:rPr>
            </w:pPr>
            <w:r w:rsidRPr="00227C94">
              <w:rPr>
                <w:b/>
              </w:rPr>
              <w:t>Capital expenditures</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330,242</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181,130</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368,139</w:t>
            </w:r>
          </w:p>
        </w:tc>
      </w:tr>
      <w:tr w:rsidR="00916675" w:rsidRPr="00227C94" w:rsidTr="00291505">
        <w:trPr>
          <w:cantSplit/>
          <w:trHeight w:hRule="exact" w:val="113"/>
        </w:trPr>
        <w:tc>
          <w:tcPr>
            <w:tcW w:w="4118" w:type="dxa"/>
          </w:tcPr>
          <w:p w:rsidR="00916675" w:rsidRPr="00227C94" w:rsidRDefault="00916675" w:rsidP="00291505">
            <w:pPr>
              <w:pStyle w:val="tblText02"/>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rPr>
            </w:pPr>
            <w:r w:rsidRPr="00227C94">
              <w:rPr>
                <w:b/>
              </w:rPr>
              <w:t>Segment depreciation and amortisation</w:t>
            </w:r>
          </w:p>
        </w:tc>
        <w:tc>
          <w:tcPr>
            <w:tcW w:w="1417" w:type="dxa"/>
            <w:shd w:val="clear" w:color="auto" w:fill="auto"/>
            <w:vAlign w:val="bottom"/>
          </w:tcPr>
          <w:p w:rsidR="00916675" w:rsidRPr="00227C94" w:rsidRDefault="00916675" w:rsidP="00291505">
            <w:pPr>
              <w:pStyle w:val="tblNumber01"/>
              <w:rPr>
                <w:b/>
              </w:rPr>
            </w:pPr>
            <w:r w:rsidRPr="00227C94">
              <w:rPr>
                <w:b/>
              </w:rPr>
              <w:t>72,138</w:t>
            </w:r>
          </w:p>
        </w:tc>
        <w:tc>
          <w:tcPr>
            <w:tcW w:w="283" w:type="dxa"/>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rPr>
                <w:b/>
              </w:rPr>
            </w:pPr>
            <w:r w:rsidRPr="00227C94">
              <w:rPr>
                <w:b/>
              </w:rPr>
              <w:t>65,599</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rPr>
                <w:b/>
              </w:rPr>
            </w:pPr>
            <w:r w:rsidRPr="00227C94">
              <w:rPr>
                <w:b/>
              </w:rPr>
              <w:t>146,672</w:t>
            </w:r>
          </w:p>
        </w:tc>
      </w:tr>
      <w:tr w:rsidR="00916675" w:rsidRPr="00227C94" w:rsidTr="00291505">
        <w:trPr>
          <w:cantSplit/>
          <w:trHeight w:hRule="exact" w:val="113"/>
        </w:trPr>
        <w:tc>
          <w:tcPr>
            <w:tcW w:w="4118" w:type="dxa"/>
            <w:shd w:val="clear" w:color="auto" w:fill="auto"/>
          </w:tcPr>
          <w:p w:rsidR="00916675" w:rsidRPr="00227C94" w:rsidRDefault="00916675" w:rsidP="00291505">
            <w:pPr>
              <w:pStyle w:val="tblText02"/>
            </w:pPr>
          </w:p>
        </w:tc>
        <w:tc>
          <w:tcPr>
            <w:tcW w:w="1417" w:type="dxa"/>
            <w:shd w:val="clear" w:color="auto" w:fill="auto"/>
            <w:vAlign w:val="bottom"/>
          </w:tcPr>
          <w:p w:rsidR="00916675" w:rsidRPr="00227C94" w:rsidRDefault="00916675" w:rsidP="00291505">
            <w:pPr>
              <w:pStyle w:val="tblNumber01"/>
            </w:pPr>
          </w:p>
        </w:tc>
        <w:tc>
          <w:tcPr>
            <w:tcW w:w="28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r>
      <w:tr w:rsidR="00916675" w:rsidRPr="00227C94" w:rsidTr="00A701F4">
        <w:trPr>
          <w:cantSplit/>
        </w:trPr>
        <w:tc>
          <w:tcPr>
            <w:tcW w:w="4118" w:type="dxa"/>
          </w:tcPr>
          <w:p w:rsidR="00916675" w:rsidRPr="00227C94" w:rsidRDefault="00916675" w:rsidP="00291505">
            <w:pPr>
              <w:pStyle w:val="tblText02"/>
            </w:pPr>
            <w:r w:rsidRPr="00227C94">
              <w:t>Additional depreciation charge</w:t>
            </w:r>
          </w:p>
        </w:tc>
        <w:tc>
          <w:tcPr>
            <w:tcW w:w="1417" w:type="dxa"/>
            <w:vAlign w:val="bottom"/>
          </w:tcPr>
          <w:p w:rsidR="00916675" w:rsidRPr="00227C94" w:rsidRDefault="00916675" w:rsidP="00291505">
            <w:pPr>
              <w:pStyle w:val="tblNumber01"/>
            </w:pPr>
            <w:r w:rsidRPr="00227C94">
              <w:t>13,608</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17,824</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27,878</w:t>
            </w:r>
          </w:p>
        </w:tc>
      </w:tr>
      <w:tr w:rsidR="00916675" w:rsidRPr="00227C94" w:rsidTr="00A701F4">
        <w:trPr>
          <w:cantSplit/>
        </w:trPr>
        <w:tc>
          <w:tcPr>
            <w:tcW w:w="4118" w:type="dxa"/>
          </w:tcPr>
          <w:p w:rsidR="00916675" w:rsidRPr="00227C94" w:rsidRDefault="00916675" w:rsidP="00291505">
            <w:pPr>
              <w:pStyle w:val="tblText02"/>
            </w:pPr>
            <w:r w:rsidRPr="00227C94">
              <w:t>Amortisation of mineral rights</w:t>
            </w: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1,533</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10,222</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13,399</w:t>
            </w:r>
          </w:p>
        </w:tc>
      </w:tr>
      <w:tr w:rsidR="00916675" w:rsidRPr="00227C94" w:rsidTr="00A701F4">
        <w:trPr>
          <w:cantSplit/>
          <w:trHeight w:hRule="exact" w:val="113"/>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rPr>
            </w:pPr>
            <w:r w:rsidRPr="00227C94">
              <w:rPr>
                <w:b/>
              </w:rPr>
              <w:t>Depreciation and amortisation</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87,279</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93,645</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187,949</w:t>
            </w:r>
          </w:p>
        </w:tc>
      </w:tr>
    </w:tbl>
    <w:p w:rsidR="00916675" w:rsidRPr="00227C94" w:rsidRDefault="00916675" w:rsidP="00291505">
      <w:pPr>
        <w:pStyle w:val="23"/>
        <w:rPr>
          <w:color w:val="auto"/>
        </w:rPr>
      </w:pPr>
    </w:p>
    <w:p w:rsidR="00916675" w:rsidRPr="00227C94" w:rsidRDefault="00916675" w:rsidP="00291505">
      <w:pPr>
        <w:pStyle w:val="23"/>
        <w:rPr>
          <w:color w:val="auto"/>
        </w:rPr>
      </w:pPr>
    </w:p>
    <w:p w:rsidR="00916675" w:rsidRPr="00227C94" w:rsidRDefault="00916675" w:rsidP="00291505">
      <w:pPr>
        <w:pStyle w:val="23"/>
        <w:rPr>
          <w:color w:val="auto"/>
          <w:lang w:val="en-US"/>
        </w:rPr>
      </w:pPr>
      <w:r w:rsidRPr="00227C94">
        <w:rPr>
          <w:color w:val="auto"/>
          <w:spacing w:val="-2"/>
          <w:lang w:val="en-US"/>
        </w:rPr>
        <w:t xml:space="preserve">The Group’s information about its non-current assets other than financial instruments by geographical </w:t>
      </w:r>
      <w:r w:rsidRPr="00227C94">
        <w:rPr>
          <w:color w:val="auto"/>
          <w:lang w:val="en-US"/>
        </w:rPr>
        <w:t>location is as follows:</w:t>
      </w:r>
    </w:p>
    <w:p w:rsidR="00916675" w:rsidRPr="00227C94" w:rsidRDefault="00916675" w:rsidP="00291505">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291505">
            <w:pPr>
              <w:pStyle w:val="tblHeaderText"/>
              <w:jc w:val="left"/>
              <w:rPr>
                <w:lang w:val="en-US"/>
              </w:rPr>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30 June</w:t>
            </w:r>
          </w:p>
          <w:p w:rsidR="00916675" w:rsidRPr="00227C94" w:rsidRDefault="00916675" w:rsidP="00291505">
            <w:pPr>
              <w:pStyle w:val="tblHeaderText"/>
            </w:pPr>
            <w:r w:rsidRPr="00227C94">
              <w:t>2012</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30 June</w:t>
            </w:r>
          </w:p>
          <w:p w:rsidR="00916675" w:rsidRPr="00227C94" w:rsidRDefault="00916675" w:rsidP="00291505">
            <w:pPr>
              <w:pStyle w:val="tblHeaderText"/>
            </w:pPr>
            <w:r w:rsidRPr="00227C94">
              <w:t>2011</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tcPr>
          <w:p w:rsidR="00916675" w:rsidRPr="00227C94" w:rsidRDefault="00916675" w:rsidP="00291505">
            <w:pPr>
              <w:pStyle w:val="tblHeaderText"/>
            </w:pPr>
            <w:r w:rsidRPr="00227C94">
              <w:t>31 December 2011</w:t>
            </w:r>
          </w:p>
        </w:tc>
      </w:tr>
      <w:tr w:rsidR="00916675" w:rsidRPr="00227C94" w:rsidTr="00291505">
        <w:trPr>
          <w:cantSplit/>
          <w:trHeight w:hRule="exact" w:val="113"/>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pPr>
            <w:r w:rsidRPr="00227C94">
              <w:t>Russian Federation</w:t>
            </w:r>
          </w:p>
        </w:tc>
        <w:tc>
          <w:tcPr>
            <w:tcW w:w="1417" w:type="dxa"/>
            <w:vAlign w:val="bottom"/>
          </w:tcPr>
          <w:p w:rsidR="00916675" w:rsidRPr="00227C94" w:rsidRDefault="00916675" w:rsidP="00291505">
            <w:pPr>
              <w:pStyle w:val="tblNumber01"/>
            </w:pPr>
            <w:r w:rsidRPr="00227C94">
              <w:t>2,529,958</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2,634,359</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2,371,841</w:t>
            </w:r>
          </w:p>
        </w:tc>
      </w:tr>
      <w:tr w:rsidR="00916675" w:rsidRPr="00227C94" w:rsidTr="00291505">
        <w:trPr>
          <w:cantSplit/>
        </w:trPr>
        <w:tc>
          <w:tcPr>
            <w:tcW w:w="4118" w:type="dxa"/>
          </w:tcPr>
          <w:p w:rsidR="00916675" w:rsidRPr="00227C94" w:rsidRDefault="00916675" w:rsidP="00291505">
            <w:pPr>
              <w:pStyle w:val="tblText02"/>
            </w:pPr>
            <w:r w:rsidRPr="00227C94">
              <w:t>Republic of Kazakhstan</w:t>
            </w:r>
          </w:p>
        </w:tc>
        <w:tc>
          <w:tcPr>
            <w:tcW w:w="1417" w:type="dxa"/>
            <w:vAlign w:val="bottom"/>
          </w:tcPr>
          <w:p w:rsidR="00916675" w:rsidRPr="00227C94" w:rsidRDefault="00916675" w:rsidP="00291505">
            <w:pPr>
              <w:pStyle w:val="tblNumber01"/>
            </w:pPr>
            <w:r w:rsidRPr="00227C94">
              <w:t>313,659</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291,931</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308,358</w:t>
            </w:r>
          </w:p>
        </w:tc>
      </w:tr>
      <w:tr w:rsidR="00916675" w:rsidRPr="00227C94" w:rsidTr="00291505">
        <w:trPr>
          <w:cantSplit/>
        </w:trPr>
        <w:tc>
          <w:tcPr>
            <w:tcW w:w="4118" w:type="dxa"/>
          </w:tcPr>
          <w:p w:rsidR="00916675" w:rsidRPr="00227C94" w:rsidRDefault="00916675" w:rsidP="00291505">
            <w:pPr>
              <w:pStyle w:val="tblText02"/>
            </w:pPr>
            <w:r w:rsidRPr="00227C94">
              <w:t>Kyrgyzstan</w:t>
            </w:r>
          </w:p>
        </w:tc>
        <w:tc>
          <w:tcPr>
            <w:tcW w:w="1417" w:type="dxa"/>
            <w:vAlign w:val="bottom"/>
          </w:tcPr>
          <w:p w:rsidR="00916675" w:rsidRPr="00227C94" w:rsidRDefault="00916675" w:rsidP="00291505">
            <w:pPr>
              <w:pStyle w:val="tblNumber01"/>
            </w:pPr>
            <w:r w:rsidRPr="00227C94">
              <w:t>31,617</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33,805</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31,084</w:t>
            </w:r>
          </w:p>
        </w:tc>
      </w:tr>
      <w:tr w:rsidR="00916675" w:rsidRPr="00227C94" w:rsidTr="00A701F4">
        <w:trPr>
          <w:cantSplit/>
        </w:trPr>
        <w:tc>
          <w:tcPr>
            <w:tcW w:w="4118" w:type="dxa"/>
          </w:tcPr>
          <w:p w:rsidR="00916675" w:rsidRPr="00227C94" w:rsidRDefault="00916675" w:rsidP="00291505">
            <w:pPr>
              <w:pStyle w:val="tblText02"/>
            </w:pPr>
            <w:r w:rsidRPr="00227C94">
              <w:t>Romania</w:t>
            </w:r>
          </w:p>
        </w:tc>
        <w:tc>
          <w:tcPr>
            <w:tcW w:w="1417" w:type="dxa"/>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16,501</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17,170</w:t>
            </w:r>
          </w:p>
        </w:tc>
      </w:tr>
      <w:tr w:rsidR="00916675" w:rsidRPr="00227C94" w:rsidTr="00A701F4">
        <w:trPr>
          <w:cantSplit/>
        </w:trPr>
        <w:tc>
          <w:tcPr>
            <w:tcW w:w="4118" w:type="dxa"/>
          </w:tcPr>
          <w:p w:rsidR="00916675" w:rsidRPr="00227C94" w:rsidRDefault="00916675" w:rsidP="00291505">
            <w:pPr>
              <w:pStyle w:val="tblText02"/>
            </w:pPr>
            <w:r w:rsidRPr="00227C94">
              <w:t>United Kingdom</w:t>
            </w: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78</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109</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94</w:t>
            </w:r>
          </w:p>
        </w:tc>
      </w:tr>
      <w:tr w:rsidR="00916675" w:rsidRPr="00227C94" w:rsidTr="00A701F4">
        <w:trPr>
          <w:cantSplit/>
          <w:trHeight w:hRule="exact" w:val="113"/>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rPr>
            </w:pPr>
            <w:r w:rsidRPr="00227C94">
              <w:rPr>
                <w:b/>
              </w:rPr>
              <w:t>Total</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2,875,312</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2,976,705</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2,728,547</w:t>
            </w:r>
          </w:p>
        </w:tc>
      </w:tr>
    </w:tbl>
    <w:p w:rsidR="00916675" w:rsidRPr="00227C94" w:rsidRDefault="00916675" w:rsidP="00291505">
      <w:pPr>
        <w:pStyle w:val="23"/>
        <w:rPr>
          <w:color w:val="auto"/>
        </w:rPr>
      </w:pPr>
    </w:p>
    <w:p w:rsidR="00291505" w:rsidRPr="00227C94" w:rsidRDefault="00291505" w:rsidP="00291505">
      <w:pPr>
        <w:pStyle w:val="a4"/>
        <w:pageBreakBefore/>
        <w:tabs>
          <w:tab w:val="left" w:pos="476"/>
        </w:tabs>
        <w:rPr>
          <w:b/>
        </w:rPr>
      </w:pPr>
      <w:r w:rsidRPr="00227C94">
        <w:rPr>
          <w:b/>
        </w:rPr>
        <w:lastRenderedPageBreak/>
        <w:t>4.</w:t>
      </w:r>
      <w:r w:rsidRPr="00227C94">
        <w:rPr>
          <w:b/>
        </w:rPr>
        <w:tab/>
        <w:t xml:space="preserve">SEGMENT INFORMATION </w:t>
      </w:r>
      <w:r w:rsidRPr="00227C94">
        <w:rPr>
          <w:caps/>
        </w:rPr>
        <w:t>(</w:t>
      </w:r>
      <w:r w:rsidRPr="00227C94">
        <w:rPr>
          <w:b/>
        </w:rPr>
        <w:t>continued</w:t>
      </w:r>
      <w:r w:rsidRPr="00227C94">
        <w:rPr>
          <w:caps/>
        </w:rPr>
        <w:t>)</w:t>
      </w:r>
    </w:p>
    <w:p w:rsidR="00916675" w:rsidRPr="00227C94" w:rsidRDefault="00916675" w:rsidP="00291505">
      <w:pPr>
        <w:pStyle w:val="23"/>
        <w:spacing w:line="180" w:lineRule="exact"/>
        <w:rPr>
          <w:color w:val="auto"/>
        </w:rPr>
      </w:pPr>
    </w:p>
    <w:p w:rsidR="00916675" w:rsidRPr="00227C94" w:rsidRDefault="00916675" w:rsidP="00291505">
      <w:pPr>
        <w:pStyle w:val="23"/>
        <w:rPr>
          <w:color w:val="auto"/>
          <w:lang w:val="en-US"/>
        </w:rPr>
      </w:pPr>
      <w:r w:rsidRPr="00227C94">
        <w:rPr>
          <w:color w:val="auto"/>
          <w:lang w:val="en-US"/>
        </w:rPr>
        <w:t>The impairment losses under IFRS in relation to Exploration and evaluation assets attributable to each reportable segment are presented as follows:</w:t>
      </w:r>
    </w:p>
    <w:p w:rsidR="00916675" w:rsidRPr="00227C94" w:rsidRDefault="00916675" w:rsidP="00291505">
      <w:pPr>
        <w:pStyle w:val="23"/>
        <w:spacing w:line="180" w:lineRule="exact"/>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291505">
            <w:pPr>
              <w:pStyle w:val="tblHeaderText"/>
              <w:jc w:val="left"/>
              <w:rPr>
                <w:lang w:val="en-US"/>
              </w:rPr>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 xml:space="preserve">Six months ended </w:t>
            </w:r>
            <w:r w:rsidR="00291505" w:rsidRPr="00227C94">
              <w:rPr>
                <w:lang w:val="en-US"/>
              </w:rPr>
              <w:br/>
            </w:r>
            <w:r w:rsidRPr="00227C94">
              <w:t>30 June 2012</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 xml:space="preserve">Six months ended </w:t>
            </w:r>
            <w:r w:rsidR="00291505" w:rsidRPr="00227C94">
              <w:rPr>
                <w:lang w:val="en-US"/>
              </w:rPr>
              <w:br/>
            </w:r>
            <w:r w:rsidRPr="00227C94">
              <w:t>30 June 2011</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tcPr>
          <w:p w:rsidR="00916675" w:rsidRPr="00227C94" w:rsidRDefault="00916675" w:rsidP="00291505">
            <w:pPr>
              <w:pStyle w:val="tblHeaderText"/>
            </w:pPr>
            <w:r w:rsidRPr="00227C94">
              <w:t>Year ended</w:t>
            </w:r>
          </w:p>
          <w:p w:rsidR="00916675" w:rsidRPr="00227C94" w:rsidRDefault="00916675" w:rsidP="00291505">
            <w:pPr>
              <w:pStyle w:val="tblHeaderText"/>
            </w:pPr>
            <w:r w:rsidRPr="00227C94">
              <w:t>31 December 2011</w:t>
            </w:r>
          </w:p>
        </w:tc>
      </w:tr>
      <w:tr w:rsidR="00916675" w:rsidRPr="00227C94" w:rsidTr="00291505">
        <w:trPr>
          <w:cantSplit/>
          <w:trHeight w:hRule="exact" w:val="113"/>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pPr>
            <w:r w:rsidRPr="00227C94">
              <w:t>Exploration business unit</w:t>
            </w:r>
          </w:p>
        </w:tc>
        <w:tc>
          <w:tcPr>
            <w:tcW w:w="1417" w:type="dxa"/>
            <w:vAlign w:val="bottom"/>
          </w:tcPr>
          <w:p w:rsidR="00916675" w:rsidRPr="00227C94" w:rsidRDefault="00916675" w:rsidP="00291505">
            <w:pPr>
              <w:pStyle w:val="tblNumber01"/>
            </w:pPr>
            <w:r w:rsidRPr="00227C94">
              <w:t>243</w:t>
            </w:r>
          </w:p>
        </w:tc>
        <w:tc>
          <w:tcPr>
            <w:tcW w:w="283" w:type="dxa"/>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r w:rsidRPr="00227C94">
              <w:t>7,848</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43,596</w:t>
            </w:r>
          </w:p>
        </w:tc>
      </w:tr>
      <w:tr w:rsidR="00916675" w:rsidRPr="00227C94" w:rsidTr="00291505">
        <w:trPr>
          <w:cantSplit/>
        </w:trPr>
        <w:tc>
          <w:tcPr>
            <w:tcW w:w="4118" w:type="dxa"/>
          </w:tcPr>
          <w:p w:rsidR="00916675" w:rsidRPr="00227C94" w:rsidRDefault="00916675" w:rsidP="00291505">
            <w:pPr>
              <w:pStyle w:val="tblText02"/>
            </w:pPr>
            <w:r w:rsidRPr="00227C94">
              <w:t>Kazakhstan business unit</w:t>
            </w:r>
          </w:p>
        </w:tc>
        <w:tc>
          <w:tcPr>
            <w:tcW w:w="1417" w:type="dxa"/>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r w:rsidRPr="00227C94">
              <w:t>1,594</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1,707</w:t>
            </w:r>
          </w:p>
        </w:tc>
      </w:tr>
      <w:tr w:rsidR="00916675" w:rsidRPr="00227C94" w:rsidTr="00291505">
        <w:trPr>
          <w:cantSplit/>
        </w:trPr>
        <w:tc>
          <w:tcPr>
            <w:tcW w:w="4118" w:type="dxa"/>
          </w:tcPr>
          <w:p w:rsidR="00916675" w:rsidRPr="00227C94" w:rsidRDefault="00916675" w:rsidP="00291505">
            <w:pPr>
              <w:pStyle w:val="tblText02"/>
            </w:pPr>
            <w:r w:rsidRPr="00227C94">
              <w:t>Krasnoyarsk business unit</w:t>
            </w:r>
          </w:p>
        </w:tc>
        <w:tc>
          <w:tcPr>
            <w:tcW w:w="1417" w:type="dxa"/>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r w:rsidRPr="00227C94">
              <w:t>5,226</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5,054</w:t>
            </w:r>
          </w:p>
        </w:tc>
      </w:tr>
      <w:tr w:rsidR="00916675" w:rsidRPr="00227C94" w:rsidTr="00A701F4">
        <w:trPr>
          <w:cantSplit/>
        </w:trPr>
        <w:tc>
          <w:tcPr>
            <w:tcW w:w="4118" w:type="dxa"/>
          </w:tcPr>
          <w:p w:rsidR="00916675" w:rsidRPr="00227C94" w:rsidRDefault="00916675" w:rsidP="00291505">
            <w:pPr>
              <w:pStyle w:val="tblText02"/>
            </w:pPr>
            <w:r w:rsidRPr="00227C94">
              <w:t>Irkutsk ore business unit</w:t>
            </w:r>
          </w:p>
        </w:tc>
        <w:tc>
          <w:tcPr>
            <w:tcW w:w="1417" w:type="dxa"/>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r w:rsidRPr="00227C94">
              <w:t>432</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4,351</w:t>
            </w:r>
          </w:p>
        </w:tc>
      </w:tr>
      <w:tr w:rsidR="00916675" w:rsidRPr="00227C94" w:rsidTr="00A701F4">
        <w:trPr>
          <w:cantSplit/>
        </w:trPr>
        <w:tc>
          <w:tcPr>
            <w:tcW w:w="4118" w:type="dxa"/>
          </w:tcPr>
          <w:p w:rsidR="00916675" w:rsidRPr="00227C94" w:rsidRDefault="00916675" w:rsidP="00291505">
            <w:pPr>
              <w:pStyle w:val="tblText02"/>
            </w:pPr>
            <w:r w:rsidRPr="00227C94">
              <w:t>Irkutsk alluvial business unit</w:t>
            </w:r>
          </w:p>
        </w:tc>
        <w:tc>
          <w:tcPr>
            <w:tcW w:w="1417" w:type="dxa"/>
            <w:tcBorders>
              <w:bottom w:val="single" w:sz="6" w:space="0" w:color="auto"/>
            </w:tcBorders>
            <w:shd w:val="clear" w:color="auto" w:fill="auto"/>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Dash"/>
            </w:pPr>
            <w:r w:rsidRPr="00227C94">
              <w:t>-</w:t>
            </w:r>
          </w:p>
        </w:tc>
      </w:tr>
      <w:tr w:rsidR="00916675" w:rsidRPr="00227C94" w:rsidTr="00A701F4">
        <w:trPr>
          <w:cantSplit/>
          <w:trHeight w:hRule="exact" w:val="113"/>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rPr>
            </w:pPr>
            <w:r w:rsidRPr="00227C94">
              <w:rPr>
                <w:b/>
              </w:rPr>
              <w:t>Total</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243</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15,100</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54,708</w:t>
            </w:r>
          </w:p>
        </w:tc>
      </w:tr>
    </w:tbl>
    <w:p w:rsidR="00916675" w:rsidRPr="00227C94" w:rsidRDefault="00916675" w:rsidP="00291505">
      <w:pPr>
        <w:pStyle w:val="23"/>
        <w:spacing w:line="180" w:lineRule="exact"/>
        <w:rPr>
          <w:color w:val="auto"/>
        </w:rPr>
      </w:pPr>
    </w:p>
    <w:p w:rsidR="00916675" w:rsidRPr="00227C94" w:rsidRDefault="00916675" w:rsidP="00291505">
      <w:pPr>
        <w:pStyle w:val="23"/>
        <w:spacing w:line="180" w:lineRule="exact"/>
        <w:rPr>
          <w:color w:val="auto"/>
        </w:rPr>
      </w:pPr>
    </w:p>
    <w:p w:rsidR="00916675" w:rsidRPr="00227C94" w:rsidRDefault="00916675" w:rsidP="00291505">
      <w:pPr>
        <w:pStyle w:val="23"/>
        <w:rPr>
          <w:color w:val="auto"/>
          <w:lang w:val="en-US"/>
        </w:rPr>
      </w:pPr>
      <w:r w:rsidRPr="00227C94">
        <w:rPr>
          <w:color w:val="auto"/>
          <w:lang w:val="en-US"/>
        </w:rPr>
        <w:t>The impairment losses under IFRS in relation to Property, plant and equipment attributable to each reportable segment are presented as follows:</w:t>
      </w:r>
    </w:p>
    <w:p w:rsidR="00916675" w:rsidRPr="00227C94" w:rsidRDefault="00916675" w:rsidP="00291505">
      <w:pPr>
        <w:pStyle w:val="23"/>
        <w:spacing w:line="180" w:lineRule="exact"/>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291505">
            <w:pPr>
              <w:pStyle w:val="tblHeaderText"/>
              <w:jc w:val="left"/>
              <w:rPr>
                <w:lang w:val="en-US"/>
              </w:rPr>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 xml:space="preserve">Six months ended </w:t>
            </w:r>
            <w:r w:rsidR="00291505" w:rsidRPr="00227C94">
              <w:rPr>
                <w:lang w:val="en-US"/>
              </w:rPr>
              <w:br/>
            </w:r>
            <w:r w:rsidRPr="00227C94">
              <w:t>30 June 2012</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 xml:space="preserve">Six months ended </w:t>
            </w:r>
            <w:r w:rsidR="00291505" w:rsidRPr="00227C94">
              <w:rPr>
                <w:lang w:val="en-US"/>
              </w:rPr>
              <w:br/>
            </w:r>
            <w:r w:rsidRPr="00227C94">
              <w:t>30 June 2011</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tcPr>
          <w:p w:rsidR="00916675" w:rsidRPr="00227C94" w:rsidRDefault="00916675" w:rsidP="00291505">
            <w:pPr>
              <w:pStyle w:val="tblHeaderText"/>
            </w:pPr>
            <w:r w:rsidRPr="00227C94">
              <w:t>Year ended</w:t>
            </w:r>
          </w:p>
          <w:p w:rsidR="00916675" w:rsidRPr="00227C94" w:rsidRDefault="00916675" w:rsidP="00291505">
            <w:pPr>
              <w:pStyle w:val="tblHeaderText"/>
            </w:pPr>
            <w:r w:rsidRPr="00227C94">
              <w:t>31 December 2011</w:t>
            </w:r>
          </w:p>
        </w:tc>
      </w:tr>
      <w:tr w:rsidR="00916675" w:rsidRPr="00227C94" w:rsidTr="00291505">
        <w:trPr>
          <w:cantSplit/>
          <w:trHeight w:hRule="exact" w:val="113"/>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pPr>
            <w:r w:rsidRPr="00227C94">
              <w:t>Kazakhstan business unit</w:t>
            </w:r>
          </w:p>
        </w:tc>
        <w:tc>
          <w:tcPr>
            <w:tcW w:w="1417" w:type="dxa"/>
            <w:vAlign w:val="bottom"/>
          </w:tcPr>
          <w:p w:rsidR="00916675" w:rsidRPr="00227C94" w:rsidRDefault="00916675" w:rsidP="00291505">
            <w:pPr>
              <w:pStyle w:val="tblNumber01"/>
            </w:pPr>
            <w:r w:rsidRPr="00227C94">
              <w:t>4,636</w:t>
            </w:r>
          </w:p>
        </w:tc>
        <w:tc>
          <w:tcPr>
            <w:tcW w:w="283" w:type="dxa"/>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11,417</w:t>
            </w:r>
          </w:p>
        </w:tc>
      </w:tr>
      <w:tr w:rsidR="00916675" w:rsidRPr="00227C94" w:rsidTr="00291505">
        <w:trPr>
          <w:cantSplit/>
        </w:trPr>
        <w:tc>
          <w:tcPr>
            <w:tcW w:w="4118" w:type="dxa"/>
          </w:tcPr>
          <w:p w:rsidR="00916675" w:rsidRPr="00227C94" w:rsidRDefault="00916675" w:rsidP="00291505">
            <w:pPr>
              <w:pStyle w:val="tblText02"/>
            </w:pPr>
            <w:r w:rsidRPr="00227C94">
              <w:t>Krasnoyarsk business unit</w:t>
            </w:r>
          </w:p>
        </w:tc>
        <w:tc>
          <w:tcPr>
            <w:tcW w:w="1417" w:type="dxa"/>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4,891</w:t>
            </w:r>
          </w:p>
        </w:tc>
      </w:tr>
      <w:tr w:rsidR="00916675" w:rsidRPr="00227C94" w:rsidTr="00A701F4">
        <w:trPr>
          <w:cantSplit/>
        </w:trPr>
        <w:tc>
          <w:tcPr>
            <w:tcW w:w="4118" w:type="dxa"/>
          </w:tcPr>
          <w:p w:rsidR="00916675" w:rsidRPr="00227C94" w:rsidRDefault="00916675" w:rsidP="00291505">
            <w:pPr>
              <w:pStyle w:val="tblText02"/>
            </w:pPr>
            <w:r w:rsidRPr="00227C94">
              <w:t>Irkutsk ore business unit</w:t>
            </w:r>
          </w:p>
        </w:tc>
        <w:tc>
          <w:tcPr>
            <w:tcW w:w="1417" w:type="dxa"/>
            <w:vAlign w:val="bottom"/>
          </w:tcPr>
          <w:p w:rsidR="00916675" w:rsidRPr="00227C94" w:rsidRDefault="00916675" w:rsidP="00291505">
            <w:pPr>
              <w:pStyle w:val="tblNumber01"/>
            </w:pPr>
            <w:r w:rsidRPr="00227C94">
              <w:t>1,058</w:t>
            </w:r>
          </w:p>
        </w:tc>
        <w:tc>
          <w:tcPr>
            <w:tcW w:w="283" w:type="dxa"/>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r w:rsidRPr="00227C94">
              <w:t>7,644</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7,193</w:t>
            </w:r>
          </w:p>
        </w:tc>
      </w:tr>
      <w:tr w:rsidR="00916675" w:rsidRPr="00227C94" w:rsidTr="00A701F4">
        <w:trPr>
          <w:cantSplit/>
        </w:trPr>
        <w:tc>
          <w:tcPr>
            <w:tcW w:w="4118" w:type="dxa"/>
          </w:tcPr>
          <w:p w:rsidR="00916675" w:rsidRPr="00227C94" w:rsidRDefault="00916675" w:rsidP="00291505">
            <w:pPr>
              <w:pStyle w:val="tblText02"/>
            </w:pPr>
            <w:r w:rsidRPr="00227C94">
              <w:t>Magadan business unit</w:t>
            </w: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11,622</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Dash"/>
            </w:pPr>
            <w:r w:rsidRPr="00227C94">
              <w:t>-</w:t>
            </w:r>
          </w:p>
        </w:tc>
      </w:tr>
      <w:tr w:rsidR="00916675" w:rsidRPr="00227C94" w:rsidTr="00A701F4">
        <w:trPr>
          <w:cantSplit/>
          <w:trHeight w:hRule="exact" w:val="113"/>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rPr>
            </w:pPr>
            <w:r w:rsidRPr="00227C94">
              <w:rPr>
                <w:b/>
              </w:rPr>
              <w:t>Total</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17,316</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7,644</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23,501</w:t>
            </w:r>
          </w:p>
        </w:tc>
      </w:tr>
    </w:tbl>
    <w:p w:rsidR="00916675" w:rsidRPr="00227C94" w:rsidRDefault="00916675" w:rsidP="00291505">
      <w:pPr>
        <w:pStyle w:val="23"/>
        <w:spacing w:line="180" w:lineRule="exact"/>
        <w:rPr>
          <w:color w:val="auto"/>
        </w:rPr>
      </w:pPr>
    </w:p>
    <w:p w:rsidR="00916675" w:rsidRPr="00227C94" w:rsidRDefault="00916675" w:rsidP="00291505">
      <w:pPr>
        <w:pStyle w:val="23"/>
        <w:spacing w:line="180" w:lineRule="exact"/>
        <w:rPr>
          <w:color w:val="auto"/>
        </w:rPr>
      </w:pPr>
    </w:p>
    <w:p w:rsidR="00916675" w:rsidRPr="00227C94" w:rsidRDefault="00916675" w:rsidP="00291505">
      <w:pPr>
        <w:pStyle w:val="1"/>
      </w:pPr>
      <w:r w:rsidRPr="00227C94">
        <w:t>GOld sales</w:t>
      </w:r>
    </w:p>
    <w:p w:rsidR="00916675" w:rsidRPr="00227C94" w:rsidRDefault="00916675" w:rsidP="00291505">
      <w:pPr>
        <w:pStyle w:val="23"/>
        <w:spacing w:line="180" w:lineRule="exact"/>
        <w:rPr>
          <w:color w:val="auto"/>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291505">
            <w:pPr>
              <w:pStyle w:val="tblHeaderText"/>
              <w:jc w:val="lef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 xml:space="preserve">Six months ended </w:t>
            </w:r>
            <w:r w:rsidR="00291505" w:rsidRPr="00227C94">
              <w:rPr>
                <w:lang w:val="en-US"/>
              </w:rPr>
              <w:br/>
            </w:r>
            <w:r w:rsidRPr="00227C94">
              <w:t>30 June 2012</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 xml:space="preserve">Six months ended </w:t>
            </w:r>
            <w:r w:rsidR="00291505" w:rsidRPr="00227C94">
              <w:rPr>
                <w:lang w:val="en-US"/>
              </w:rPr>
              <w:br/>
            </w:r>
            <w:r w:rsidRPr="00227C94">
              <w:t>30 June 2011</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tcPr>
          <w:p w:rsidR="00916675" w:rsidRPr="00227C94" w:rsidRDefault="00916675" w:rsidP="00291505">
            <w:pPr>
              <w:pStyle w:val="tblHeaderText"/>
            </w:pPr>
            <w:r w:rsidRPr="00227C94">
              <w:t>Year ended</w:t>
            </w:r>
          </w:p>
          <w:p w:rsidR="00916675" w:rsidRPr="00227C94" w:rsidRDefault="00916675" w:rsidP="00291505">
            <w:pPr>
              <w:pStyle w:val="tblHeaderText"/>
            </w:pPr>
            <w:r w:rsidRPr="00227C94">
              <w:t>31 December 2011</w:t>
            </w:r>
          </w:p>
        </w:tc>
      </w:tr>
      <w:tr w:rsidR="00916675" w:rsidRPr="00227C94" w:rsidTr="00291505">
        <w:trPr>
          <w:cantSplit/>
          <w:trHeight w:hRule="exact" w:val="113"/>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A701F4">
        <w:trPr>
          <w:cantSplit/>
        </w:trPr>
        <w:tc>
          <w:tcPr>
            <w:tcW w:w="4118" w:type="dxa"/>
          </w:tcPr>
          <w:p w:rsidR="00916675" w:rsidRPr="00227C94" w:rsidRDefault="00916675" w:rsidP="00291505">
            <w:pPr>
              <w:pStyle w:val="tblText02"/>
            </w:pPr>
            <w:r w:rsidRPr="00227C94">
              <w:t>Refined gold</w:t>
            </w:r>
          </w:p>
        </w:tc>
        <w:tc>
          <w:tcPr>
            <w:tcW w:w="1417" w:type="dxa"/>
            <w:vAlign w:val="bottom"/>
          </w:tcPr>
          <w:p w:rsidR="00916675" w:rsidRPr="00227C94" w:rsidRDefault="00916675" w:rsidP="00291505">
            <w:pPr>
              <w:pStyle w:val="tblNumber01"/>
            </w:pPr>
            <w:r w:rsidRPr="00227C94">
              <w:t>1,132,874</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818,466</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2,179,825</w:t>
            </w:r>
          </w:p>
        </w:tc>
      </w:tr>
      <w:tr w:rsidR="00916675" w:rsidRPr="00227C94" w:rsidTr="00A701F4">
        <w:trPr>
          <w:cantSplit/>
        </w:trPr>
        <w:tc>
          <w:tcPr>
            <w:tcW w:w="4118" w:type="dxa"/>
            <w:vAlign w:val="bottom"/>
          </w:tcPr>
          <w:p w:rsidR="00916675" w:rsidRPr="00227C94" w:rsidRDefault="00916675" w:rsidP="00291505">
            <w:pPr>
              <w:pStyle w:val="tblText02"/>
            </w:pPr>
            <w:r w:rsidRPr="00227C94">
              <w:t>Other gold-bearing products</w:t>
            </w: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90,992</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83,286</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160,825</w:t>
            </w:r>
          </w:p>
        </w:tc>
      </w:tr>
      <w:tr w:rsidR="00916675" w:rsidRPr="00227C94" w:rsidTr="00A701F4">
        <w:trPr>
          <w:cantSplit/>
          <w:trHeight w:hRule="exact" w:val="113"/>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rPr>
            </w:pPr>
            <w:r w:rsidRPr="00227C94">
              <w:rPr>
                <w:b/>
              </w:rPr>
              <w:t>Total</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1,223,866</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901,752</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2,340,650</w:t>
            </w:r>
          </w:p>
        </w:tc>
      </w:tr>
    </w:tbl>
    <w:p w:rsidR="00916675" w:rsidRPr="00227C94" w:rsidRDefault="00916675" w:rsidP="00291505">
      <w:pPr>
        <w:pStyle w:val="23"/>
        <w:spacing w:line="180" w:lineRule="exact"/>
        <w:rPr>
          <w:color w:val="auto"/>
        </w:rPr>
      </w:pPr>
    </w:p>
    <w:p w:rsidR="00916675" w:rsidRPr="00227C94" w:rsidRDefault="00916675" w:rsidP="00291505">
      <w:pPr>
        <w:pStyle w:val="23"/>
        <w:spacing w:line="180" w:lineRule="exact"/>
        <w:rPr>
          <w:color w:val="auto"/>
        </w:rPr>
      </w:pPr>
    </w:p>
    <w:p w:rsidR="00916675" w:rsidRPr="00227C94" w:rsidRDefault="00916675" w:rsidP="00291505">
      <w:pPr>
        <w:pStyle w:val="1"/>
      </w:pPr>
      <w:r w:rsidRPr="00227C94">
        <w:t>COST OF GOLD SALES</w:t>
      </w:r>
    </w:p>
    <w:p w:rsidR="00916675" w:rsidRPr="00227C94" w:rsidRDefault="00916675" w:rsidP="00291505">
      <w:pPr>
        <w:pStyle w:val="23"/>
        <w:spacing w:line="180" w:lineRule="exact"/>
        <w:rPr>
          <w:color w:val="auto"/>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291505">
            <w:pPr>
              <w:pStyle w:val="tblHeaderText"/>
              <w:jc w:val="lef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 xml:space="preserve">Six months ended </w:t>
            </w:r>
            <w:r w:rsidR="00291505" w:rsidRPr="00227C94">
              <w:rPr>
                <w:lang w:val="en-US"/>
              </w:rPr>
              <w:br/>
            </w:r>
            <w:r w:rsidRPr="00227C94">
              <w:t>30 June 2012</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 xml:space="preserve">Six months ended </w:t>
            </w:r>
            <w:r w:rsidR="00291505" w:rsidRPr="00227C94">
              <w:rPr>
                <w:lang w:val="en-US"/>
              </w:rPr>
              <w:br/>
            </w:r>
            <w:r w:rsidRPr="00227C94">
              <w:t>30 June 2011</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tcPr>
          <w:p w:rsidR="00916675" w:rsidRPr="00227C94" w:rsidRDefault="00916675" w:rsidP="00291505">
            <w:pPr>
              <w:pStyle w:val="tblHeaderText"/>
            </w:pPr>
            <w:r w:rsidRPr="00227C94">
              <w:t>Year ended</w:t>
            </w:r>
          </w:p>
          <w:p w:rsidR="00916675" w:rsidRPr="00227C94" w:rsidRDefault="00916675" w:rsidP="00291505">
            <w:pPr>
              <w:pStyle w:val="tblHeaderText"/>
            </w:pPr>
            <w:r w:rsidRPr="00227C94">
              <w:t>31 December 2011</w:t>
            </w:r>
          </w:p>
        </w:tc>
      </w:tr>
      <w:tr w:rsidR="00916675" w:rsidRPr="00227C94" w:rsidTr="00291505">
        <w:trPr>
          <w:cantSplit/>
          <w:trHeight w:hRule="exact" w:val="113"/>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pPr>
            <w:r w:rsidRPr="00227C94">
              <w:t>Fuel, consumables and spares</w:t>
            </w:r>
          </w:p>
        </w:tc>
        <w:tc>
          <w:tcPr>
            <w:tcW w:w="1417" w:type="dxa"/>
            <w:vAlign w:val="bottom"/>
          </w:tcPr>
          <w:p w:rsidR="00916675" w:rsidRPr="00227C94" w:rsidRDefault="00916675" w:rsidP="00291505">
            <w:pPr>
              <w:pStyle w:val="tblNumber01"/>
            </w:pPr>
            <w:r w:rsidRPr="00227C94">
              <w:t>232,550</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194,171</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410,243</w:t>
            </w:r>
          </w:p>
        </w:tc>
      </w:tr>
      <w:tr w:rsidR="00916675" w:rsidRPr="00227C94" w:rsidTr="00291505">
        <w:trPr>
          <w:cantSplit/>
        </w:trPr>
        <w:tc>
          <w:tcPr>
            <w:tcW w:w="4118" w:type="dxa"/>
          </w:tcPr>
          <w:p w:rsidR="00916675" w:rsidRPr="00227C94" w:rsidRDefault="00916675" w:rsidP="00291505">
            <w:pPr>
              <w:pStyle w:val="tblText02"/>
            </w:pPr>
            <w:r w:rsidRPr="00227C94">
              <w:t>Labour</w:t>
            </w:r>
          </w:p>
        </w:tc>
        <w:tc>
          <w:tcPr>
            <w:tcW w:w="1417" w:type="dxa"/>
            <w:vAlign w:val="bottom"/>
          </w:tcPr>
          <w:p w:rsidR="00916675" w:rsidRPr="00227C94" w:rsidRDefault="00916675" w:rsidP="00291505">
            <w:pPr>
              <w:pStyle w:val="tblNumber01"/>
            </w:pPr>
            <w:r w:rsidRPr="00227C94">
              <w:t>157,860</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122,268</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288,866</w:t>
            </w:r>
          </w:p>
        </w:tc>
      </w:tr>
      <w:tr w:rsidR="00916675" w:rsidRPr="00227C94" w:rsidTr="00291505">
        <w:trPr>
          <w:cantSplit/>
        </w:trPr>
        <w:tc>
          <w:tcPr>
            <w:tcW w:w="4118" w:type="dxa"/>
          </w:tcPr>
          <w:p w:rsidR="00916675" w:rsidRPr="00227C94" w:rsidRDefault="00916675" w:rsidP="00291505">
            <w:pPr>
              <w:pStyle w:val="tblText02"/>
            </w:pPr>
            <w:r w:rsidRPr="00227C94">
              <w:t>Tax on mining</w:t>
            </w:r>
          </w:p>
        </w:tc>
        <w:tc>
          <w:tcPr>
            <w:tcW w:w="1417" w:type="dxa"/>
            <w:vAlign w:val="bottom"/>
          </w:tcPr>
          <w:p w:rsidR="00916675" w:rsidRPr="00227C94" w:rsidRDefault="00916675" w:rsidP="00291505">
            <w:pPr>
              <w:pStyle w:val="tblNumber01"/>
            </w:pPr>
            <w:r w:rsidRPr="00227C94">
              <w:t>90,842</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71,393</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179,116</w:t>
            </w:r>
          </w:p>
        </w:tc>
      </w:tr>
      <w:tr w:rsidR="00916675" w:rsidRPr="00227C94" w:rsidTr="00291505">
        <w:trPr>
          <w:cantSplit/>
        </w:trPr>
        <w:tc>
          <w:tcPr>
            <w:tcW w:w="4118" w:type="dxa"/>
          </w:tcPr>
          <w:p w:rsidR="00916675" w:rsidRPr="00227C94" w:rsidRDefault="00916675" w:rsidP="00291505">
            <w:pPr>
              <w:pStyle w:val="tblText02"/>
            </w:pPr>
            <w:r w:rsidRPr="00227C94">
              <w:t>Utilities</w:t>
            </w:r>
          </w:p>
        </w:tc>
        <w:tc>
          <w:tcPr>
            <w:tcW w:w="1417" w:type="dxa"/>
            <w:vAlign w:val="bottom"/>
          </w:tcPr>
          <w:p w:rsidR="00916675" w:rsidRPr="00227C94" w:rsidRDefault="00916675" w:rsidP="00291505">
            <w:pPr>
              <w:pStyle w:val="tblNumber01"/>
            </w:pPr>
            <w:r w:rsidRPr="00227C94">
              <w:t>28,288</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29,595</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55,140</w:t>
            </w:r>
          </w:p>
        </w:tc>
      </w:tr>
      <w:tr w:rsidR="00916675" w:rsidRPr="00227C94" w:rsidTr="00291505">
        <w:trPr>
          <w:cantSplit/>
        </w:trPr>
        <w:tc>
          <w:tcPr>
            <w:tcW w:w="4118" w:type="dxa"/>
          </w:tcPr>
          <w:p w:rsidR="00916675" w:rsidRPr="00227C94" w:rsidRDefault="00916675" w:rsidP="00291505">
            <w:pPr>
              <w:pStyle w:val="tblText02"/>
            </w:pPr>
            <w:r w:rsidRPr="00227C94">
              <w:t>Outsourced mining services</w:t>
            </w:r>
          </w:p>
        </w:tc>
        <w:tc>
          <w:tcPr>
            <w:tcW w:w="1417" w:type="dxa"/>
            <w:vAlign w:val="bottom"/>
          </w:tcPr>
          <w:p w:rsidR="00916675" w:rsidRPr="00227C94" w:rsidRDefault="00916675" w:rsidP="00291505">
            <w:pPr>
              <w:pStyle w:val="tblNumber01"/>
            </w:pPr>
            <w:r w:rsidRPr="00227C94">
              <w:t>7,099</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3,374</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22,147</w:t>
            </w:r>
          </w:p>
        </w:tc>
      </w:tr>
      <w:tr w:rsidR="00916675" w:rsidRPr="00227C94" w:rsidTr="00A701F4">
        <w:trPr>
          <w:cantSplit/>
        </w:trPr>
        <w:tc>
          <w:tcPr>
            <w:tcW w:w="4118" w:type="dxa"/>
          </w:tcPr>
          <w:p w:rsidR="00916675" w:rsidRPr="00227C94" w:rsidRDefault="00916675" w:rsidP="00291505">
            <w:pPr>
              <w:pStyle w:val="tblText02"/>
            </w:pPr>
            <w:r w:rsidRPr="00227C94">
              <w:t>Refining costs</w:t>
            </w:r>
          </w:p>
        </w:tc>
        <w:tc>
          <w:tcPr>
            <w:tcW w:w="1417" w:type="dxa"/>
            <w:vAlign w:val="bottom"/>
          </w:tcPr>
          <w:p w:rsidR="00916675" w:rsidRPr="00227C94" w:rsidRDefault="00916675" w:rsidP="00291505">
            <w:pPr>
              <w:pStyle w:val="tblNumber01"/>
            </w:pPr>
            <w:r w:rsidRPr="00227C94">
              <w:t>2,458</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1,926</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5,067</w:t>
            </w:r>
          </w:p>
        </w:tc>
      </w:tr>
      <w:tr w:rsidR="00916675" w:rsidRPr="00227C94" w:rsidTr="00A701F4">
        <w:trPr>
          <w:cantSplit/>
        </w:trPr>
        <w:tc>
          <w:tcPr>
            <w:tcW w:w="4118" w:type="dxa"/>
          </w:tcPr>
          <w:p w:rsidR="00916675" w:rsidRPr="00227C94" w:rsidRDefault="00916675" w:rsidP="00291505">
            <w:pPr>
              <w:pStyle w:val="tblText02"/>
            </w:pPr>
            <w:r w:rsidRPr="00227C94">
              <w:t>Other</w:t>
            </w: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42,417</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26,481</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75,696</w:t>
            </w:r>
          </w:p>
        </w:tc>
      </w:tr>
      <w:tr w:rsidR="00916675" w:rsidRPr="00227C94" w:rsidTr="00291505">
        <w:trPr>
          <w:cantSplit/>
          <w:trHeight w:hRule="exact" w:val="113"/>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rPr>
            </w:pPr>
            <w:r w:rsidRPr="00227C94">
              <w:rPr>
                <w:b/>
              </w:rPr>
              <w:t>Sub-total</w:t>
            </w:r>
          </w:p>
        </w:tc>
        <w:tc>
          <w:tcPr>
            <w:tcW w:w="1417" w:type="dxa"/>
            <w:vAlign w:val="bottom"/>
          </w:tcPr>
          <w:p w:rsidR="00916675" w:rsidRPr="00227C94" w:rsidRDefault="00916675" w:rsidP="00291505">
            <w:pPr>
              <w:pStyle w:val="tblNumber01"/>
              <w:rPr>
                <w:b/>
              </w:rPr>
            </w:pPr>
            <w:r w:rsidRPr="00227C94">
              <w:rPr>
                <w:b/>
              </w:rPr>
              <w:t>561,514</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rPr>
                <w:b/>
              </w:rPr>
            </w:pPr>
            <w:r w:rsidRPr="00227C94">
              <w:rPr>
                <w:b/>
              </w:rPr>
              <w:t>449,208</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rPr>
                <w:b/>
              </w:rPr>
            </w:pPr>
            <w:r w:rsidRPr="00227C94">
              <w:rPr>
                <w:b/>
              </w:rPr>
              <w:t>1,036,275</w:t>
            </w:r>
          </w:p>
        </w:tc>
      </w:tr>
      <w:tr w:rsidR="00916675" w:rsidRPr="00227C94" w:rsidTr="00291505">
        <w:trPr>
          <w:cantSplit/>
          <w:trHeight w:hRule="exact" w:val="113"/>
        </w:trPr>
        <w:tc>
          <w:tcPr>
            <w:tcW w:w="4118" w:type="dxa"/>
          </w:tcPr>
          <w:p w:rsidR="00916675" w:rsidRPr="00227C94" w:rsidRDefault="00916675" w:rsidP="00291505">
            <w:pPr>
              <w:pStyle w:val="tblText02"/>
            </w:pPr>
          </w:p>
        </w:tc>
        <w:tc>
          <w:tcPr>
            <w:tcW w:w="1417" w:type="dxa"/>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lang w:val="en-US"/>
              </w:rPr>
            </w:pPr>
            <w:r w:rsidRPr="00227C94">
              <w:rPr>
                <w:lang w:val="en-US"/>
              </w:rPr>
              <w:t>Amortisation and depreciation of operating assets</w:t>
            </w:r>
            <w:r w:rsidR="00291505" w:rsidRPr="00227C94">
              <w:rPr>
                <w:lang w:val="en-US"/>
              </w:rPr>
              <w:t xml:space="preserve"> </w:t>
            </w:r>
            <w:r w:rsidRPr="00227C94">
              <w:rPr>
                <w:lang w:val="en-US"/>
              </w:rPr>
              <w:t>(note 10)</w:t>
            </w:r>
          </w:p>
        </w:tc>
        <w:tc>
          <w:tcPr>
            <w:tcW w:w="1417" w:type="dxa"/>
            <w:vAlign w:val="bottom"/>
          </w:tcPr>
          <w:p w:rsidR="00916675" w:rsidRPr="00227C94" w:rsidRDefault="00916675" w:rsidP="00291505">
            <w:pPr>
              <w:pStyle w:val="tblNumber01"/>
            </w:pPr>
            <w:r w:rsidRPr="00227C94">
              <w:t>84,137</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89,847</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181,935</w:t>
            </w:r>
          </w:p>
        </w:tc>
      </w:tr>
      <w:tr w:rsidR="00916675" w:rsidRPr="00227C94" w:rsidTr="00A701F4">
        <w:trPr>
          <w:cantSplit/>
        </w:trPr>
        <w:tc>
          <w:tcPr>
            <w:tcW w:w="4118" w:type="dxa"/>
          </w:tcPr>
          <w:p w:rsidR="00916675" w:rsidRPr="00227C94" w:rsidRDefault="00916675" w:rsidP="00291505">
            <w:pPr>
              <w:pStyle w:val="tblText02"/>
              <w:rPr>
                <w:lang w:val="en-US"/>
              </w:rPr>
            </w:pPr>
            <w:r w:rsidRPr="00227C94">
              <w:rPr>
                <w:lang w:val="en-US"/>
              </w:rPr>
              <w:t>(Capitalisation)/amortisation of deferred stripping costs, net</w:t>
            </w:r>
          </w:p>
        </w:tc>
        <w:tc>
          <w:tcPr>
            <w:tcW w:w="1417" w:type="dxa"/>
            <w:vAlign w:val="bottom"/>
          </w:tcPr>
          <w:p w:rsidR="00916675" w:rsidRPr="00227C94" w:rsidRDefault="00916675" w:rsidP="00291505">
            <w:pPr>
              <w:pStyle w:val="tblNumber00"/>
            </w:pPr>
            <w:r w:rsidRPr="00227C94">
              <w:t>(2,343)</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17,136</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(7,335)</w:t>
            </w:r>
          </w:p>
        </w:tc>
      </w:tr>
      <w:tr w:rsidR="00916675" w:rsidRPr="00227C94" w:rsidTr="00A701F4">
        <w:trPr>
          <w:cantSplit/>
        </w:trPr>
        <w:tc>
          <w:tcPr>
            <w:tcW w:w="4118" w:type="dxa"/>
          </w:tcPr>
          <w:p w:rsidR="00916675" w:rsidRPr="00227C94" w:rsidRDefault="00916675" w:rsidP="00291505">
            <w:pPr>
              <w:pStyle w:val="tblText02"/>
              <w:rPr>
                <w:lang w:val="en-US"/>
              </w:rPr>
            </w:pPr>
            <w:r w:rsidRPr="00227C94">
              <w:rPr>
                <w:lang w:val="en-US"/>
              </w:rPr>
              <w:t>Increase in gold-in-process and refined gold inventories</w:t>
            </w: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(74,278)</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(78,138)</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(48,856)</w:t>
            </w:r>
          </w:p>
        </w:tc>
      </w:tr>
      <w:tr w:rsidR="00916675" w:rsidRPr="00227C94" w:rsidTr="00A701F4">
        <w:trPr>
          <w:cantSplit/>
          <w:trHeight w:hRule="exact" w:val="113"/>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rPr>
            </w:pPr>
            <w:r w:rsidRPr="00227C94">
              <w:rPr>
                <w:b/>
              </w:rPr>
              <w:t>Total</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569,030</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478,053</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1,162,019</w:t>
            </w:r>
          </w:p>
        </w:tc>
      </w:tr>
    </w:tbl>
    <w:p w:rsidR="00916675" w:rsidRPr="00227C94" w:rsidRDefault="00916675" w:rsidP="00291505">
      <w:pPr>
        <w:pStyle w:val="1"/>
        <w:pageBreakBefore/>
        <w:rPr>
          <w:lang w:val="en-US"/>
        </w:rPr>
      </w:pPr>
      <w:r w:rsidRPr="00227C94">
        <w:rPr>
          <w:lang w:val="en-US"/>
        </w:rPr>
        <w:lastRenderedPageBreak/>
        <w:t>SELLING, GENERAL AND ADMINISTRATIVE EXPENSES</w:t>
      </w:r>
    </w:p>
    <w:p w:rsidR="00916675" w:rsidRPr="00227C94" w:rsidRDefault="00916675" w:rsidP="00291505">
      <w:pPr>
        <w:pStyle w:val="23"/>
        <w:rPr>
          <w:color w:val="auto"/>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291505">
            <w:pPr>
              <w:pStyle w:val="tblHeaderText"/>
              <w:jc w:val="lef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 xml:space="preserve">Six months ended </w:t>
            </w:r>
            <w:r w:rsidR="00291505" w:rsidRPr="00227C94">
              <w:rPr>
                <w:lang w:val="en-US"/>
              </w:rPr>
              <w:br/>
            </w:r>
            <w:r w:rsidRPr="00227C94">
              <w:t>30 June 2012</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 xml:space="preserve">Six months ended </w:t>
            </w:r>
            <w:r w:rsidR="00291505" w:rsidRPr="00227C94">
              <w:rPr>
                <w:lang w:val="en-US"/>
              </w:rPr>
              <w:br/>
            </w:r>
            <w:r w:rsidRPr="00227C94">
              <w:t>30 June 2011</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tcPr>
          <w:p w:rsidR="00916675" w:rsidRPr="00227C94" w:rsidRDefault="00916675" w:rsidP="00291505">
            <w:pPr>
              <w:pStyle w:val="tblHeaderText"/>
            </w:pPr>
            <w:r w:rsidRPr="00227C94">
              <w:t>Year ended</w:t>
            </w:r>
          </w:p>
          <w:p w:rsidR="00916675" w:rsidRPr="00227C94" w:rsidRDefault="00916675" w:rsidP="00291505">
            <w:pPr>
              <w:pStyle w:val="tblHeaderText"/>
            </w:pPr>
            <w:r w:rsidRPr="00227C94">
              <w:t>31 December 2011</w:t>
            </w:r>
          </w:p>
        </w:tc>
      </w:tr>
      <w:tr w:rsidR="00916675" w:rsidRPr="00227C94" w:rsidTr="00291505">
        <w:trPr>
          <w:cantSplit/>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pPr>
            <w:r w:rsidRPr="00227C94">
              <w:t>Salaries</w:t>
            </w:r>
          </w:p>
        </w:tc>
        <w:tc>
          <w:tcPr>
            <w:tcW w:w="1417" w:type="dxa"/>
            <w:vAlign w:val="bottom"/>
          </w:tcPr>
          <w:p w:rsidR="00916675" w:rsidRPr="00227C94" w:rsidRDefault="00916675" w:rsidP="00291505">
            <w:pPr>
              <w:pStyle w:val="tblNumber01"/>
            </w:pPr>
            <w:r w:rsidRPr="00227C94">
              <w:t>68,586</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43,591</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116,295</w:t>
            </w:r>
          </w:p>
        </w:tc>
      </w:tr>
      <w:tr w:rsidR="00916675" w:rsidRPr="00227C94" w:rsidTr="00291505">
        <w:trPr>
          <w:cantSplit/>
        </w:trPr>
        <w:tc>
          <w:tcPr>
            <w:tcW w:w="4118" w:type="dxa"/>
          </w:tcPr>
          <w:p w:rsidR="00916675" w:rsidRPr="00227C94" w:rsidRDefault="00916675" w:rsidP="00291505">
            <w:pPr>
              <w:pStyle w:val="tblText02"/>
            </w:pPr>
            <w:r w:rsidRPr="00227C94">
              <w:t>Professional services</w:t>
            </w:r>
          </w:p>
        </w:tc>
        <w:tc>
          <w:tcPr>
            <w:tcW w:w="1417" w:type="dxa"/>
            <w:vAlign w:val="bottom"/>
          </w:tcPr>
          <w:p w:rsidR="00916675" w:rsidRPr="00227C94" w:rsidRDefault="00916675" w:rsidP="00291505">
            <w:pPr>
              <w:pStyle w:val="tblNumber01"/>
            </w:pPr>
            <w:r w:rsidRPr="00227C94">
              <w:t>15,429</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14,214</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36,350</w:t>
            </w:r>
          </w:p>
        </w:tc>
      </w:tr>
      <w:tr w:rsidR="00916675" w:rsidRPr="00227C94" w:rsidTr="00291505">
        <w:trPr>
          <w:cantSplit/>
        </w:trPr>
        <w:tc>
          <w:tcPr>
            <w:tcW w:w="4118" w:type="dxa"/>
          </w:tcPr>
          <w:p w:rsidR="00916675" w:rsidRPr="00227C94" w:rsidRDefault="00916675" w:rsidP="00291505">
            <w:pPr>
              <w:pStyle w:val="tblText02"/>
              <w:rPr>
                <w:lang w:val="en-US"/>
              </w:rPr>
            </w:pPr>
            <w:r w:rsidRPr="00227C94">
              <w:rPr>
                <w:lang w:val="en-US"/>
              </w:rPr>
              <w:t>Taxes other than mining and income taxes</w:t>
            </w:r>
          </w:p>
        </w:tc>
        <w:tc>
          <w:tcPr>
            <w:tcW w:w="1417" w:type="dxa"/>
            <w:vAlign w:val="bottom"/>
          </w:tcPr>
          <w:p w:rsidR="00916675" w:rsidRPr="00227C94" w:rsidRDefault="00916675" w:rsidP="00291505">
            <w:pPr>
              <w:pStyle w:val="tblNumber01"/>
            </w:pPr>
            <w:r w:rsidRPr="00227C94">
              <w:t>12,052</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21,706</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42,630</w:t>
            </w:r>
          </w:p>
        </w:tc>
      </w:tr>
      <w:tr w:rsidR="00916675" w:rsidRPr="00227C94" w:rsidTr="00A701F4">
        <w:trPr>
          <w:cantSplit/>
        </w:trPr>
        <w:tc>
          <w:tcPr>
            <w:tcW w:w="4118" w:type="dxa"/>
          </w:tcPr>
          <w:p w:rsidR="00916675" w:rsidRPr="00227C94" w:rsidRDefault="00916675" w:rsidP="00291505">
            <w:pPr>
              <w:pStyle w:val="tblText02"/>
            </w:pPr>
            <w:r w:rsidRPr="00227C94">
              <w:t>Amortisation and depreciation</w:t>
            </w:r>
          </w:p>
        </w:tc>
        <w:tc>
          <w:tcPr>
            <w:tcW w:w="1417" w:type="dxa"/>
            <w:vAlign w:val="bottom"/>
          </w:tcPr>
          <w:p w:rsidR="00916675" w:rsidRPr="00227C94" w:rsidRDefault="00916675" w:rsidP="00291505">
            <w:pPr>
              <w:pStyle w:val="tblNumber01"/>
            </w:pPr>
            <w:r w:rsidRPr="00227C94">
              <w:t>2,149</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2,580</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4,830</w:t>
            </w:r>
          </w:p>
        </w:tc>
      </w:tr>
      <w:tr w:rsidR="00916675" w:rsidRPr="00227C94" w:rsidTr="00A701F4">
        <w:trPr>
          <w:cantSplit/>
        </w:trPr>
        <w:tc>
          <w:tcPr>
            <w:tcW w:w="4118" w:type="dxa"/>
          </w:tcPr>
          <w:p w:rsidR="00916675" w:rsidRPr="00227C94" w:rsidRDefault="00916675" w:rsidP="00291505">
            <w:pPr>
              <w:pStyle w:val="tblText02"/>
            </w:pPr>
            <w:r w:rsidRPr="00227C94">
              <w:t>Other</w:t>
            </w: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12,024</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11,371</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25,513</w:t>
            </w:r>
          </w:p>
        </w:tc>
      </w:tr>
      <w:tr w:rsidR="00916675" w:rsidRPr="00227C94" w:rsidTr="00A701F4">
        <w:trPr>
          <w:cantSplit/>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rPr>
            </w:pPr>
            <w:r w:rsidRPr="00227C94">
              <w:rPr>
                <w:b/>
              </w:rPr>
              <w:t>Total</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110,240</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93,462</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225,618</w:t>
            </w:r>
          </w:p>
        </w:tc>
      </w:tr>
    </w:tbl>
    <w:p w:rsidR="00916675" w:rsidRPr="00227C94" w:rsidRDefault="00916675" w:rsidP="00291505">
      <w:pPr>
        <w:pStyle w:val="23"/>
        <w:rPr>
          <w:color w:val="auto"/>
        </w:rPr>
      </w:pPr>
    </w:p>
    <w:p w:rsidR="00916675" w:rsidRPr="00227C94" w:rsidRDefault="00916675" w:rsidP="00291505">
      <w:pPr>
        <w:pStyle w:val="23"/>
        <w:rPr>
          <w:color w:val="auto"/>
        </w:rPr>
      </w:pPr>
    </w:p>
    <w:p w:rsidR="00916675" w:rsidRPr="00227C94" w:rsidRDefault="00916675" w:rsidP="00916675">
      <w:pPr>
        <w:pStyle w:val="1"/>
        <w:rPr>
          <w:lang w:val="en-US"/>
        </w:rPr>
      </w:pPr>
      <w:r w:rsidRPr="00227C94">
        <w:rPr>
          <w:lang w:val="en-US"/>
        </w:rPr>
        <w:t>FINANCE COSTS</w:t>
      </w:r>
    </w:p>
    <w:p w:rsidR="00916675" w:rsidRPr="00227C94" w:rsidRDefault="00916675" w:rsidP="00291505">
      <w:pPr>
        <w:pStyle w:val="23"/>
        <w:rPr>
          <w:color w:val="auto"/>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291505">
            <w:pPr>
              <w:pStyle w:val="tblHeaderText"/>
              <w:jc w:val="lef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 xml:space="preserve">Six months ended </w:t>
            </w:r>
            <w:r w:rsidR="00291505" w:rsidRPr="00227C94">
              <w:rPr>
                <w:lang w:val="en-US"/>
              </w:rPr>
              <w:br/>
            </w:r>
            <w:r w:rsidRPr="00227C94">
              <w:t>30 June 2012</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 xml:space="preserve">Six months ended </w:t>
            </w:r>
            <w:r w:rsidR="00291505" w:rsidRPr="00227C94">
              <w:rPr>
                <w:lang w:val="en-US"/>
              </w:rPr>
              <w:br/>
            </w:r>
            <w:r w:rsidRPr="00227C94">
              <w:t>30 June 2011</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tcPr>
          <w:p w:rsidR="00916675" w:rsidRPr="00227C94" w:rsidRDefault="00916675" w:rsidP="00291505">
            <w:pPr>
              <w:pStyle w:val="tblHeaderText"/>
            </w:pPr>
            <w:r w:rsidRPr="00227C94">
              <w:t>Year ended</w:t>
            </w:r>
          </w:p>
          <w:p w:rsidR="00916675" w:rsidRPr="00227C94" w:rsidRDefault="00916675" w:rsidP="00291505">
            <w:pPr>
              <w:pStyle w:val="tblHeaderText"/>
            </w:pPr>
            <w:r w:rsidRPr="00227C94">
              <w:t>31 December 2011</w:t>
            </w:r>
          </w:p>
        </w:tc>
      </w:tr>
      <w:tr w:rsidR="00916675" w:rsidRPr="00227C94" w:rsidTr="00291505">
        <w:trPr>
          <w:cantSplit/>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pPr>
            <w:r w:rsidRPr="00227C94">
              <w:t>Interest on borrowings</w:t>
            </w:r>
          </w:p>
        </w:tc>
        <w:tc>
          <w:tcPr>
            <w:tcW w:w="1417" w:type="dxa"/>
            <w:vAlign w:val="bottom"/>
          </w:tcPr>
          <w:p w:rsidR="00916675" w:rsidRPr="00227C94" w:rsidRDefault="00916675" w:rsidP="00291505">
            <w:pPr>
              <w:pStyle w:val="tblNumber01"/>
              <w:rPr>
                <w:szCs w:val="18"/>
              </w:rPr>
            </w:pPr>
            <w:r w:rsidRPr="00227C94">
              <w:t>16,387</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16,546</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31,241</w:t>
            </w:r>
          </w:p>
        </w:tc>
      </w:tr>
      <w:tr w:rsidR="00916675" w:rsidRPr="00227C94" w:rsidTr="00291505">
        <w:trPr>
          <w:cantSplit/>
        </w:trPr>
        <w:tc>
          <w:tcPr>
            <w:tcW w:w="4118" w:type="dxa"/>
          </w:tcPr>
          <w:p w:rsidR="00916675" w:rsidRPr="00227C94" w:rsidRDefault="00916675" w:rsidP="00291505">
            <w:pPr>
              <w:pStyle w:val="tblText02"/>
            </w:pPr>
            <w:r w:rsidRPr="00227C94">
              <w:t>Unwinding of discounts</w:t>
            </w:r>
          </w:p>
        </w:tc>
        <w:tc>
          <w:tcPr>
            <w:tcW w:w="1417" w:type="dxa"/>
            <w:vAlign w:val="bottom"/>
          </w:tcPr>
          <w:p w:rsidR="00916675" w:rsidRPr="00227C94" w:rsidRDefault="00916675" w:rsidP="00291505">
            <w:pPr>
              <w:pStyle w:val="tblNumber01"/>
              <w:rPr>
                <w:szCs w:val="18"/>
              </w:rPr>
            </w:pPr>
            <w:r w:rsidRPr="00227C94">
              <w:t>6,102</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6,166</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11,999</w:t>
            </w:r>
          </w:p>
        </w:tc>
      </w:tr>
      <w:tr w:rsidR="00916675" w:rsidRPr="00227C94" w:rsidTr="00A701F4">
        <w:trPr>
          <w:cantSplit/>
        </w:trPr>
        <w:tc>
          <w:tcPr>
            <w:tcW w:w="4118" w:type="dxa"/>
          </w:tcPr>
          <w:p w:rsidR="00916675" w:rsidRPr="00227C94" w:rsidRDefault="00916675" w:rsidP="00291505">
            <w:pPr>
              <w:pStyle w:val="tblText02"/>
            </w:pPr>
            <w:r w:rsidRPr="00227C94">
              <w:t>Debt modification expense</w:t>
            </w:r>
          </w:p>
        </w:tc>
        <w:tc>
          <w:tcPr>
            <w:tcW w:w="1417" w:type="dxa"/>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26,928</w:t>
            </w:r>
          </w:p>
        </w:tc>
      </w:tr>
      <w:tr w:rsidR="00916675" w:rsidRPr="00227C94" w:rsidTr="00A701F4">
        <w:trPr>
          <w:cantSplit/>
        </w:trPr>
        <w:tc>
          <w:tcPr>
            <w:tcW w:w="4118" w:type="dxa"/>
          </w:tcPr>
          <w:p w:rsidR="00916675" w:rsidRPr="00227C94" w:rsidRDefault="00916675" w:rsidP="00291505">
            <w:pPr>
              <w:pStyle w:val="tblText02"/>
            </w:pPr>
            <w:r w:rsidRPr="00227C94">
              <w:t>Other</w:t>
            </w:r>
          </w:p>
        </w:tc>
        <w:tc>
          <w:tcPr>
            <w:tcW w:w="1417" w:type="dxa"/>
            <w:tcBorders>
              <w:bottom w:val="single" w:sz="6" w:space="0" w:color="auto"/>
            </w:tcBorders>
            <w:shd w:val="clear" w:color="auto" w:fill="auto"/>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1,235</w:t>
            </w:r>
          </w:p>
        </w:tc>
      </w:tr>
      <w:tr w:rsidR="00916675" w:rsidRPr="00227C94" w:rsidTr="00A701F4">
        <w:trPr>
          <w:cantSplit/>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rPr>
            </w:pPr>
            <w:r w:rsidRPr="00227C94">
              <w:rPr>
                <w:b/>
              </w:rPr>
              <w:t>Total</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szCs w:val="18"/>
              </w:rPr>
            </w:pPr>
            <w:r w:rsidRPr="00227C94">
              <w:rPr>
                <w:b/>
              </w:rPr>
              <w:t>22,489</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22,712</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71,403</w:t>
            </w:r>
          </w:p>
        </w:tc>
      </w:tr>
    </w:tbl>
    <w:p w:rsidR="00916675" w:rsidRPr="00227C94" w:rsidRDefault="00916675" w:rsidP="00291505">
      <w:pPr>
        <w:pStyle w:val="23"/>
        <w:rPr>
          <w:color w:val="auto"/>
        </w:rPr>
      </w:pPr>
    </w:p>
    <w:p w:rsidR="00916675" w:rsidRPr="00227C94" w:rsidRDefault="00916675" w:rsidP="00291505">
      <w:pPr>
        <w:pStyle w:val="23"/>
        <w:rPr>
          <w:color w:val="auto"/>
        </w:rPr>
      </w:pPr>
    </w:p>
    <w:p w:rsidR="00916675" w:rsidRPr="00227C94" w:rsidRDefault="00916675" w:rsidP="00916675">
      <w:pPr>
        <w:pStyle w:val="1"/>
        <w:rPr>
          <w:lang w:val="en-US"/>
        </w:rPr>
      </w:pPr>
      <w:r w:rsidRPr="00227C94">
        <w:rPr>
          <w:lang w:val="en-US"/>
        </w:rPr>
        <w:t>INCOME</w:t>
      </w:r>
      <w:proofErr w:type="gramStart"/>
      <w:r w:rsidRPr="00227C94">
        <w:rPr>
          <w:lang w:val="en-US"/>
        </w:rPr>
        <w:t>/(</w:t>
      </w:r>
      <w:proofErr w:type="gramEnd"/>
      <w:r w:rsidRPr="00227C94">
        <w:rPr>
          <w:lang w:val="en-US"/>
        </w:rPr>
        <w:t>LOSS) FROM INVESTMENTS, net</w:t>
      </w:r>
    </w:p>
    <w:p w:rsidR="00916675" w:rsidRPr="00227C94" w:rsidRDefault="00916675" w:rsidP="00291505">
      <w:pPr>
        <w:pStyle w:val="23"/>
        <w:rPr>
          <w:color w:val="auto"/>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291505">
            <w:pPr>
              <w:pStyle w:val="tblHeaderText"/>
              <w:jc w:val="lef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 xml:space="preserve">Six months ended </w:t>
            </w:r>
            <w:r w:rsidR="00291505" w:rsidRPr="00227C94">
              <w:rPr>
                <w:lang w:val="en-US"/>
              </w:rPr>
              <w:br/>
            </w:r>
            <w:r w:rsidRPr="00227C94">
              <w:t>30 June 2012</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 xml:space="preserve">Six months ended </w:t>
            </w:r>
            <w:r w:rsidR="00291505" w:rsidRPr="00227C94">
              <w:rPr>
                <w:lang w:val="en-US"/>
              </w:rPr>
              <w:br/>
            </w:r>
            <w:r w:rsidRPr="00227C94">
              <w:t>30 June 2011</w:t>
            </w:r>
          </w:p>
        </w:tc>
        <w:tc>
          <w:tcPr>
            <w:tcW w:w="28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tcPr>
          <w:p w:rsidR="00916675" w:rsidRPr="00227C94" w:rsidRDefault="00916675" w:rsidP="00291505">
            <w:pPr>
              <w:pStyle w:val="tblHeaderText"/>
            </w:pPr>
            <w:r w:rsidRPr="00227C94">
              <w:t>Year ended</w:t>
            </w:r>
          </w:p>
          <w:p w:rsidR="00916675" w:rsidRPr="00227C94" w:rsidRDefault="00916675" w:rsidP="00291505">
            <w:pPr>
              <w:pStyle w:val="tblHeaderText"/>
            </w:pPr>
            <w:r w:rsidRPr="00227C94">
              <w:t>31 December 2011</w:t>
            </w:r>
          </w:p>
        </w:tc>
      </w:tr>
      <w:tr w:rsidR="00916675" w:rsidRPr="00227C94" w:rsidTr="00291505">
        <w:trPr>
          <w:cantSplit/>
        </w:trPr>
        <w:tc>
          <w:tcPr>
            <w:tcW w:w="4118" w:type="dxa"/>
            <w:vAlign w:val="bottom"/>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lang w:val="en-US"/>
              </w:rPr>
            </w:pPr>
            <w:r w:rsidRPr="00227C94">
              <w:rPr>
                <w:b/>
                <w:lang w:val="en-US"/>
              </w:rPr>
              <w:t>Income / (loss) from financial assets at fair value through profit and loss</w:t>
            </w:r>
          </w:p>
        </w:tc>
        <w:tc>
          <w:tcPr>
            <w:tcW w:w="1417" w:type="dxa"/>
            <w:vAlign w:val="bottom"/>
          </w:tcPr>
          <w:p w:rsidR="00916675" w:rsidRPr="00227C94" w:rsidRDefault="00916675" w:rsidP="00291505">
            <w:pPr>
              <w:pStyle w:val="tblNumber01"/>
              <w:rPr>
                <w:lang w:val="en-US"/>
              </w:rPr>
            </w:pPr>
          </w:p>
        </w:tc>
        <w:tc>
          <w:tcPr>
            <w:tcW w:w="28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c>
          <w:tcPr>
            <w:tcW w:w="283" w:type="dxa"/>
            <w:vAlign w:val="bottom"/>
          </w:tcPr>
          <w:p w:rsidR="00916675" w:rsidRPr="00227C94" w:rsidRDefault="00916675" w:rsidP="00291505">
            <w:pPr>
              <w:pStyle w:val="tblNumber01"/>
              <w:rPr>
                <w:lang w:val="en-US"/>
              </w:rPr>
            </w:pPr>
          </w:p>
        </w:tc>
        <w:tc>
          <w:tcPr>
            <w:tcW w:w="1417" w:type="dxa"/>
            <w:vAlign w:val="bottom"/>
          </w:tcPr>
          <w:p w:rsidR="00916675" w:rsidRPr="00227C94" w:rsidRDefault="00916675" w:rsidP="00291505">
            <w:pPr>
              <w:pStyle w:val="tblNumber01"/>
              <w:rPr>
                <w:lang w:val="en-US"/>
              </w:rPr>
            </w:pPr>
          </w:p>
        </w:tc>
      </w:tr>
      <w:tr w:rsidR="00916675" w:rsidRPr="00227C94" w:rsidTr="00291505">
        <w:trPr>
          <w:cantSplit/>
        </w:trPr>
        <w:tc>
          <w:tcPr>
            <w:tcW w:w="4118" w:type="dxa"/>
          </w:tcPr>
          <w:p w:rsidR="00916675" w:rsidRPr="00227C94" w:rsidRDefault="00916675" w:rsidP="00291505">
            <w:pPr>
              <w:pStyle w:val="tblText02"/>
              <w:rPr>
                <w:lang w:val="en-US"/>
              </w:rPr>
            </w:pPr>
            <w:r w:rsidRPr="00227C94">
              <w:rPr>
                <w:lang w:val="en-US"/>
              </w:rPr>
              <w:t>Loss on derivatives classified as held for trading</w:t>
            </w:r>
          </w:p>
        </w:tc>
        <w:tc>
          <w:tcPr>
            <w:tcW w:w="1417" w:type="dxa"/>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(8,661)</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(8,661)</w:t>
            </w:r>
          </w:p>
        </w:tc>
      </w:tr>
      <w:tr w:rsidR="00916675" w:rsidRPr="00227C94" w:rsidTr="00291505">
        <w:trPr>
          <w:cantSplit/>
        </w:trPr>
        <w:tc>
          <w:tcPr>
            <w:tcW w:w="4118" w:type="dxa"/>
          </w:tcPr>
          <w:p w:rsidR="00916675" w:rsidRPr="00227C94" w:rsidRDefault="00916675" w:rsidP="00291505">
            <w:pPr>
              <w:pStyle w:val="tblText02"/>
              <w:rPr>
                <w:lang w:val="en-US"/>
              </w:rPr>
            </w:pPr>
            <w:r w:rsidRPr="00227C94">
              <w:rPr>
                <w:lang w:val="en-US"/>
              </w:rPr>
              <w:t>Income / (loss) from investments in listed companies held for trading</w:t>
            </w:r>
          </w:p>
        </w:tc>
        <w:tc>
          <w:tcPr>
            <w:tcW w:w="1417" w:type="dxa"/>
            <w:vAlign w:val="bottom"/>
          </w:tcPr>
          <w:p w:rsidR="00916675" w:rsidRPr="00227C94" w:rsidRDefault="00916675" w:rsidP="00291505">
            <w:pPr>
              <w:pStyle w:val="tblNumber01"/>
            </w:pPr>
            <w:r w:rsidRPr="00227C94">
              <w:t>2,215</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(7,032)</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0"/>
            </w:pPr>
            <w:r w:rsidRPr="00227C94">
              <w:t>(20,984)</w:t>
            </w:r>
          </w:p>
        </w:tc>
      </w:tr>
      <w:tr w:rsidR="00916675" w:rsidRPr="00227C94" w:rsidTr="00291505">
        <w:trPr>
          <w:cantSplit/>
        </w:trPr>
        <w:tc>
          <w:tcPr>
            <w:tcW w:w="4118" w:type="dxa"/>
          </w:tcPr>
          <w:p w:rsidR="00916675" w:rsidRPr="00227C94" w:rsidRDefault="00916675" w:rsidP="00291505">
            <w:pPr>
              <w:pStyle w:val="tblText02"/>
            </w:pPr>
          </w:p>
        </w:tc>
        <w:tc>
          <w:tcPr>
            <w:tcW w:w="1417" w:type="dxa"/>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rPr>
            </w:pPr>
            <w:r w:rsidRPr="00227C94">
              <w:rPr>
                <w:b/>
              </w:rPr>
              <w:t>Income from AFS investments</w:t>
            </w:r>
          </w:p>
        </w:tc>
        <w:tc>
          <w:tcPr>
            <w:tcW w:w="1417" w:type="dxa"/>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lang w:val="en-US"/>
              </w:rPr>
            </w:pPr>
            <w:r w:rsidRPr="00227C94">
              <w:rPr>
                <w:lang w:val="en-US"/>
              </w:rPr>
              <w:t>Gain on disposal of AFS investments</w:t>
            </w:r>
          </w:p>
        </w:tc>
        <w:tc>
          <w:tcPr>
            <w:tcW w:w="1417" w:type="dxa"/>
            <w:vAlign w:val="bottom"/>
          </w:tcPr>
          <w:p w:rsidR="00916675" w:rsidRPr="00227C94" w:rsidRDefault="00916675" w:rsidP="00291505">
            <w:pPr>
              <w:pStyle w:val="tblNumberDash"/>
            </w:pPr>
            <w:r w:rsidRPr="00227C94">
              <w:t>-</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17,023</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17,023</w:t>
            </w:r>
          </w:p>
        </w:tc>
      </w:tr>
      <w:tr w:rsidR="00916675" w:rsidRPr="00227C94" w:rsidTr="00A701F4">
        <w:trPr>
          <w:cantSplit/>
        </w:trPr>
        <w:tc>
          <w:tcPr>
            <w:tcW w:w="4118" w:type="dxa"/>
          </w:tcPr>
          <w:p w:rsidR="00916675" w:rsidRPr="00227C94" w:rsidRDefault="00916675" w:rsidP="00291505">
            <w:pPr>
              <w:pStyle w:val="tblText02"/>
            </w:pPr>
          </w:p>
        </w:tc>
        <w:tc>
          <w:tcPr>
            <w:tcW w:w="1417" w:type="dxa"/>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p>
        </w:tc>
      </w:tr>
      <w:tr w:rsidR="00916675" w:rsidRPr="00227C94" w:rsidTr="00A701F4">
        <w:trPr>
          <w:cantSplit/>
        </w:trPr>
        <w:tc>
          <w:tcPr>
            <w:tcW w:w="4118" w:type="dxa"/>
          </w:tcPr>
          <w:p w:rsidR="00916675" w:rsidRPr="00227C94" w:rsidRDefault="00916675" w:rsidP="00291505">
            <w:pPr>
              <w:pStyle w:val="tblText02"/>
              <w:rPr>
                <w:lang w:val="en-US"/>
              </w:rPr>
            </w:pPr>
            <w:r w:rsidRPr="00227C94">
              <w:rPr>
                <w:lang w:val="en-US"/>
              </w:rPr>
              <w:t>Interest income on bank deposits</w:t>
            </w: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17,325</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6,902</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16,252</w:t>
            </w:r>
          </w:p>
        </w:tc>
      </w:tr>
      <w:tr w:rsidR="00916675" w:rsidRPr="00227C94" w:rsidTr="00A701F4">
        <w:trPr>
          <w:cantSplit/>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rPr>
            </w:pPr>
            <w:r w:rsidRPr="00227C94">
              <w:rPr>
                <w:b/>
              </w:rPr>
              <w:t>Total</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19,540</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8,232</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3,630</w:t>
            </w:r>
          </w:p>
        </w:tc>
      </w:tr>
    </w:tbl>
    <w:p w:rsidR="00916675" w:rsidRPr="00227C94" w:rsidRDefault="00916675" w:rsidP="00291505">
      <w:pPr>
        <w:pStyle w:val="23"/>
        <w:rPr>
          <w:color w:val="auto"/>
        </w:rPr>
      </w:pPr>
    </w:p>
    <w:p w:rsidR="00916675" w:rsidRPr="00227C94" w:rsidRDefault="00916675" w:rsidP="00291505">
      <w:pPr>
        <w:pStyle w:val="23"/>
        <w:rPr>
          <w:color w:val="auto"/>
          <w:lang w:val="en-US"/>
        </w:rPr>
      </w:pPr>
    </w:p>
    <w:p w:rsidR="00916675" w:rsidRPr="00227C94" w:rsidRDefault="00291505" w:rsidP="00916675">
      <w:pPr>
        <w:pStyle w:val="1"/>
        <w:rPr>
          <w:lang w:val="en-US"/>
        </w:rPr>
      </w:pPr>
      <w:r w:rsidRPr="00227C94">
        <w:rPr>
          <w:lang w:val="en-US"/>
        </w:rPr>
        <w:br w:type="page"/>
      </w:r>
      <w:r w:rsidR="00916675" w:rsidRPr="00227C94">
        <w:rPr>
          <w:lang w:val="en-US"/>
        </w:rPr>
        <w:lastRenderedPageBreak/>
        <w:t>PROPERTY, PLANT AND EQUIPMENT</w:t>
      </w:r>
    </w:p>
    <w:p w:rsidR="00916675" w:rsidRPr="00227C94" w:rsidRDefault="00916675" w:rsidP="00291505">
      <w:pPr>
        <w:pStyle w:val="23"/>
        <w:rPr>
          <w:color w:val="auto"/>
        </w:rPr>
      </w:pPr>
    </w:p>
    <w:tbl>
      <w:tblPr>
        <w:tblW w:w="8935" w:type="dxa"/>
        <w:tblInd w:w="476" w:type="dxa"/>
        <w:tblLayout w:type="fixed"/>
        <w:tblCellMar>
          <w:left w:w="0" w:type="dxa"/>
          <w:right w:w="0" w:type="dxa"/>
        </w:tblCellMar>
        <w:tblLook w:val="0000" w:firstRow="0" w:lastRow="0" w:firstColumn="0" w:lastColumn="0" w:noHBand="0" w:noVBand="0"/>
      </w:tblPr>
      <w:tblGrid>
        <w:gridCol w:w="3649"/>
        <w:gridCol w:w="1245"/>
        <w:gridCol w:w="102"/>
        <w:gridCol w:w="1245"/>
        <w:gridCol w:w="102"/>
        <w:gridCol w:w="1245"/>
        <w:gridCol w:w="102"/>
        <w:gridCol w:w="1245"/>
      </w:tblGrid>
      <w:tr w:rsidR="00916675" w:rsidRPr="00227C94" w:rsidTr="00A701F4">
        <w:trPr>
          <w:cantSplit/>
        </w:trPr>
        <w:tc>
          <w:tcPr>
            <w:tcW w:w="4160" w:type="dxa"/>
            <w:shd w:val="clear" w:color="auto" w:fill="auto"/>
            <w:vAlign w:val="bottom"/>
          </w:tcPr>
          <w:p w:rsidR="00916675" w:rsidRPr="00227C94" w:rsidRDefault="00916675" w:rsidP="00291505">
            <w:pPr>
              <w:pStyle w:val="tblHeaderText"/>
              <w:jc w:val="lef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Mining assets</w:t>
            </w:r>
          </w:p>
        </w:tc>
        <w:tc>
          <w:tcPr>
            <w:tcW w:w="113" w:type="dxa"/>
            <w:tcBorders>
              <w:right w:val="nil"/>
            </w:tcBorders>
            <w:shd w:val="clear" w:color="auto" w:fill="auto"/>
          </w:tcPr>
          <w:p w:rsidR="00916675" w:rsidRPr="00227C94" w:rsidRDefault="00916675" w:rsidP="00291505">
            <w:pPr>
              <w:pStyle w:val="tblHeaderText"/>
            </w:pPr>
          </w:p>
        </w:tc>
        <w:tc>
          <w:tcPr>
            <w:tcW w:w="1417" w:type="dxa"/>
            <w:tcBorders>
              <w:left w:val="nil"/>
              <w:bottom w:val="single" w:sz="6" w:space="0" w:color="auto"/>
            </w:tcBorders>
            <w:shd w:val="clear" w:color="auto" w:fill="auto"/>
            <w:vAlign w:val="bottom"/>
          </w:tcPr>
          <w:p w:rsidR="00916675" w:rsidRPr="00227C94" w:rsidRDefault="00916675" w:rsidP="00291505">
            <w:pPr>
              <w:pStyle w:val="tblHeaderText"/>
            </w:pPr>
            <w:r w:rsidRPr="00227C94">
              <w:t>Non-mining assets</w:t>
            </w:r>
          </w:p>
        </w:tc>
        <w:tc>
          <w:tcPr>
            <w:tcW w:w="11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Capital construction-in-progress</w:t>
            </w:r>
          </w:p>
        </w:tc>
        <w:tc>
          <w:tcPr>
            <w:tcW w:w="113" w:type="dxa"/>
            <w:shd w:val="clear" w:color="auto" w:fill="auto"/>
          </w:tcPr>
          <w:p w:rsidR="00916675" w:rsidRPr="00227C94" w:rsidRDefault="00916675" w:rsidP="00291505">
            <w:pPr>
              <w:pStyle w:val="tblHeaderText"/>
            </w:pPr>
          </w:p>
        </w:tc>
        <w:tc>
          <w:tcPr>
            <w:tcW w:w="1417" w:type="dxa"/>
            <w:tcBorders>
              <w:bottom w:val="single" w:sz="6" w:space="0" w:color="auto"/>
            </w:tcBorders>
            <w:shd w:val="clear" w:color="auto" w:fill="auto"/>
            <w:vAlign w:val="bottom"/>
          </w:tcPr>
          <w:p w:rsidR="00916675" w:rsidRPr="00227C94" w:rsidRDefault="00916675" w:rsidP="00291505">
            <w:pPr>
              <w:pStyle w:val="tblHeaderText"/>
            </w:pPr>
            <w:r w:rsidRPr="00227C94">
              <w:t>Total</w:t>
            </w:r>
          </w:p>
        </w:tc>
      </w:tr>
      <w:tr w:rsidR="00291505" w:rsidRPr="00227C94" w:rsidTr="00A701F4">
        <w:trPr>
          <w:cantSplit/>
          <w:trHeight w:hRule="exact" w:val="113"/>
        </w:trPr>
        <w:tc>
          <w:tcPr>
            <w:tcW w:w="4160" w:type="dxa"/>
            <w:shd w:val="clear" w:color="auto" w:fill="auto"/>
            <w:vAlign w:val="bottom"/>
          </w:tcPr>
          <w:p w:rsidR="00291505" w:rsidRPr="00227C94" w:rsidRDefault="00291505" w:rsidP="00291505">
            <w:pPr>
              <w:pStyle w:val="tblHeaderText"/>
              <w:jc w:val="left"/>
            </w:pPr>
          </w:p>
        </w:tc>
        <w:tc>
          <w:tcPr>
            <w:tcW w:w="1417" w:type="dxa"/>
            <w:tcBorders>
              <w:top w:val="single" w:sz="6" w:space="0" w:color="auto"/>
            </w:tcBorders>
            <w:shd w:val="clear" w:color="auto" w:fill="auto"/>
            <w:vAlign w:val="bottom"/>
          </w:tcPr>
          <w:p w:rsidR="00291505" w:rsidRPr="00227C94" w:rsidRDefault="00291505" w:rsidP="00291505">
            <w:pPr>
              <w:pStyle w:val="tblHeaderText"/>
            </w:pPr>
          </w:p>
        </w:tc>
        <w:tc>
          <w:tcPr>
            <w:tcW w:w="113" w:type="dxa"/>
            <w:tcBorders>
              <w:right w:val="nil"/>
            </w:tcBorders>
            <w:shd w:val="clear" w:color="auto" w:fill="auto"/>
          </w:tcPr>
          <w:p w:rsidR="00291505" w:rsidRPr="00227C94" w:rsidRDefault="00291505" w:rsidP="00291505">
            <w:pPr>
              <w:pStyle w:val="tblHeaderText"/>
            </w:pPr>
          </w:p>
        </w:tc>
        <w:tc>
          <w:tcPr>
            <w:tcW w:w="1417" w:type="dxa"/>
            <w:tcBorders>
              <w:top w:val="single" w:sz="6" w:space="0" w:color="auto"/>
              <w:left w:val="nil"/>
            </w:tcBorders>
            <w:shd w:val="clear" w:color="auto" w:fill="auto"/>
            <w:vAlign w:val="bottom"/>
          </w:tcPr>
          <w:p w:rsidR="00291505" w:rsidRPr="00227C94" w:rsidRDefault="00291505" w:rsidP="00291505">
            <w:pPr>
              <w:pStyle w:val="tblHeaderText"/>
            </w:pPr>
          </w:p>
        </w:tc>
        <w:tc>
          <w:tcPr>
            <w:tcW w:w="113" w:type="dxa"/>
            <w:shd w:val="clear" w:color="auto" w:fill="auto"/>
          </w:tcPr>
          <w:p w:rsidR="00291505" w:rsidRPr="00227C94" w:rsidRDefault="00291505" w:rsidP="00291505">
            <w:pPr>
              <w:pStyle w:val="tblHeaderText"/>
            </w:pPr>
          </w:p>
        </w:tc>
        <w:tc>
          <w:tcPr>
            <w:tcW w:w="1417" w:type="dxa"/>
            <w:tcBorders>
              <w:top w:val="single" w:sz="6" w:space="0" w:color="auto"/>
            </w:tcBorders>
            <w:shd w:val="clear" w:color="auto" w:fill="auto"/>
            <w:vAlign w:val="bottom"/>
          </w:tcPr>
          <w:p w:rsidR="00291505" w:rsidRPr="00227C94" w:rsidRDefault="00291505" w:rsidP="00291505">
            <w:pPr>
              <w:pStyle w:val="tblHeaderText"/>
            </w:pPr>
          </w:p>
        </w:tc>
        <w:tc>
          <w:tcPr>
            <w:tcW w:w="113" w:type="dxa"/>
            <w:shd w:val="clear" w:color="auto" w:fill="auto"/>
          </w:tcPr>
          <w:p w:rsidR="00291505" w:rsidRPr="00227C94" w:rsidRDefault="00291505" w:rsidP="00291505">
            <w:pPr>
              <w:pStyle w:val="tblHeaderText"/>
            </w:pPr>
          </w:p>
        </w:tc>
        <w:tc>
          <w:tcPr>
            <w:tcW w:w="1417" w:type="dxa"/>
            <w:tcBorders>
              <w:top w:val="single" w:sz="6" w:space="0" w:color="auto"/>
            </w:tcBorders>
            <w:shd w:val="clear" w:color="auto" w:fill="auto"/>
            <w:vAlign w:val="bottom"/>
          </w:tcPr>
          <w:p w:rsidR="00291505" w:rsidRPr="00227C94" w:rsidRDefault="00291505" w:rsidP="00291505">
            <w:pPr>
              <w:pStyle w:val="tblHeaderText"/>
            </w:pPr>
          </w:p>
        </w:tc>
      </w:tr>
      <w:tr w:rsidR="00291505" w:rsidRPr="00227C94" w:rsidTr="00291505">
        <w:trPr>
          <w:cantSplit/>
        </w:trPr>
        <w:tc>
          <w:tcPr>
            <w:tcW w:w="4160" w:type="dxa"/>
            <w:shd w:val="clear" w:color="auto" w:fill="auto"/>
          </w:tcPr>
          <w:p w:rsidR="00916675" w:rsidRPr="00227C94" w:rsidRDefault="00916675" w:rsidP="00291505">
            <w:pPr>
              <w:pStyle w:val="tblText02"/>
              <w:rPr>
                <w:b/>
              </w:rPr>
            </w:pPr>
            <w:r w:rsidRPr="00227C94">
              <w:rPr>
                <w:b/>
              </w:rPr>
              <w:t>Cost</w:t>
            </w:r>
          </w:p>
        </w:tc>
        <w:tc>
          <w:tcPr>
            <w:tcW w:w="1417" w:type="dxa"/>
            <w:shd w:val="clear" w:color="auto" w:fill="auto"/>
            <w:vAlign w:val="bottom"/>
          </w:tcPr>
          <w:p w:rsidR="00916675" w:rsidRPr="00227C94" w:rsidRDefault="00916675" w:rsidP="00291505">
            <w:pPr>
              <w:pStyle w:val="tblNumber01"/>
            </w:pP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1"/>
            </w:pP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rPr>
                <w:b/>
              </w:rPr>
            </w:pPr>
            <w:r w:rsidRPr="00227C94">
              <w:rPr>
                <w:b/>
              </w:rPr>
              <w:t>Balance at 31 December 2010</w:t>
            </w:r>
          </w:p>
        </w:tc>
        <w:tc>
          <w:tcPr>
            <w:tcW w:w="1417" w:type="dxa"/>
            <w:shd w:val="clear" w:color="auto" w:fill="auto"/>
            <w:vAlign w:val="bottom"/>
          </w:tcPr>
          <w:p w:rsidR="00916675" w:rsidRPr="00227C94" w:rsidRDefault="00916675" w:rsidP="00291505">
            <w:pPr>
              <w:pStyle w:val="tblNumber01"/>
              <w:rPr>
                <w:b/>
              </w:rPr>
            </w:pPr>
            <w:r w:rsidRPr="00227C94">
              <w:rPr>
                <w:b/>
              </w:rPr>
              <w:t>2,356,373</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1"/>
              <w:rPr>
                <w:b/>
              </w:rPr>
            </w:pPr>
            <w:r w:rsidRPr="00227C94">
              <w:rPr>
                <w:b/>
              </w:rPr>
              <w:t>70,313</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rPr>
                <w:b/>
              </w:rPr>
            </w:pPr>
            <w:r w:rsidRPr="00227C94">
              <w:rPr>
                <w:b/>
              </w:rPr>
              <w:t>312,258</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rPr>
                <w:b/>
              </w:rPr>
            </w:pPr>
            <w:r w:rsidRPr="00227C94">
              <w:rPr>
                <w:b/>
              </w:rPr>
              <w:t>2,738,944</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pPr>
            <w:r w:rsidRPr="00227C94">
              <w:t>Additions</w:t>
            </w:r>
          </w:p>
        </w:tc>
        <w:tc>
          <w:tcPr>
            <w:tcW w:w="1417" w:type="dxa"/>
            <w:shd w:val="clear" w:color="auto" w:fill="auto"/>
            <w:vAlign w:val="bottom"/>
          </w:tcPr>
          <w:p w:rsidR="00916675" w:rsidRPr="00227C94" w:rsidRDefault="00916675" w:rsidP="00291505">
            <w:pPr>
              <w:pStyle w:val="tblNumber01"/>
            </w:pPr>
            <w:r w:rsidRPr="00227C94">
              <w:t>125,909</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1"/>
            </w:pPr>
            <w:r w:rsidRPr="00227C94">
              <w:t>840</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r w:rsidRPr="00227C94">
              <w:t>41,306</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rPr>
                <w:b/>
              </w:rPr>
            </w:pPr>
            <w:r w:rsidRPr="00227C94">
              <w:rPr>
                <w:b/>
              </w:rPr>
              <w:t>168,055</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rPr>
                <w:lang w:val="en-US"/>
              </w:rPr>
            </w:pPr>
            <w:r w:rsidRPr="00227C94">
              <w:rPr>
                <w:lang w:val="en-US"/>
              </w:rPr>
              <w:t>Transfers from capital construction-in-progress</w:t>
            </w:r>
          </w:p>
        </w:tc>
        <w:tc>
          <w:tcPr>
            <w:tcW w:w="1417" w:type="dxa"/>
            <w:shd w:val="clear" w:color="auto" w:fill="auto"/>
            <w:vAlign w:val="bottom"/>
          </w:tcPr>
          <w:p w:rsidR="00916675" w:rsidRPr="00227C94" w:rsidRDefault="00916675" w:rsidP="00291505">
            <w:pPr>
              <w:pStyle w:val="tblNumber01"/>
            </w:pPr>
            <w:r w:rsidRPr="00227C94">
              <w:t>2,297</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1"/>
            </w:pPr>
            <w:r w:rsidRPr="00227C94">
              <w:t>280</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pPr>
            <w:r w:rsidRPr="00227C94">
              <w:t>(2,577)</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rPr>
                <w:b/>
              </w:rPr>
            </w:pPr>
            <w:r w:rsidRPr="00227C94">
              <w:rPr>
                <w:b/>
              </w:rPr>
              <w:t>-</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pPr>
            <w:r w:rsidRPr="00227C94">
              <w:t>Change in decommissioning liabilities</w:t>
            </w:r>
          </w:p>
        </w:tc>
        <w:tc>
          <w:tcPr>
            <w:tcW w:w="1417" w:type="dxa"/>
            <w:shd w:val="clear" w:color="auto" w:fill="auto"/>
            <w:vAlign w:val="bottom"/>
          </w:tcPr>
          <w:p w:rsidR="00916675" w:rsidRPr="00227C94" w:rsidRDefault="00916675" w:rsidP="00291505">
            <w:pPr>
              <w:pStyle w:val="tblNumber00"/>
            </w:pPr>
            <w:r w:rsidRPr="00227C94">
              <w:t>(1,791)</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rPr>
                <w:b/>
              </w:rPr>
            </w:pPr>
            <w:r w:rsidRPr="00227C94">
              <w:rPr>
                <w:b/>
              </w:rPr>
              <w:t>(1,791)</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pPr>
            <w:r w:rsidRPr="00227C94">
              <w:t>Disposals</w:t>
            </w:r>
          </w:p>
        </w:tc>
        <w:tc>
          <w:tcPr>
            <w:tcW w:w="1417" w:type="dxa"/>
            <w:shd w:val="clear" w:color="auto" w:fill="auto"/>
            <w:vAlign w:val="bottom"/>
          </w:tcPr>
          <w:p w:rsidR="00916675" w:rsidRPr="00227C94" w:rsidRDefault="00916675" w:rsidP="00291505">
            <w:pPr>
              <w:pStyle w:val="tblNumber00"/>
            </w:pPr>
            <w:r w:rsidRPr="00227C94">
              <w:t>(11,466)</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0"/>
            </w:pPr>
            <w:r w:rsidRPr="00227C94">
              <w:t>(278)</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pPr>
            <w:r w:rsidRPr="00227C94">
              <w:t>(86)</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rPr>
                <w:b/>
              </w:rPr>
            </w:pPr>
            <w:r w:rsidRPr="00227C94">
              <w:rPr>
                <w:b/>
              </w:rPr>
              <w:t>(11,830)</w:t>
            </w:r>
          </w:p>
        </w:tc>
      </w:tr>
      <w:tr w:rsidR="00291505" w:rsidRPr="00227C94" w:rsidTr="00A701F4">
        <w:trPr>
          <w:cantSplit/>
        </w:trPr>
        <w:tc>
          <w:tcPr>
            <w:tcW w:w="4160" w:type="dxa"/>
            <w:shd w:val="clear" w:color="auto" w:fill="auto"/>
            <w:vAlign w:val="bottom"/>
          </w:tcPr>
          <w:p w:rsidR="00916675" w:rsidRPr="00227C94" w:rsidRDefault="00916675" w:rsidP="00291505">
            <w:pPr>
              <w:pStyle w:val="tblText02"/>
            </w:pPr>
            <w:r w:rsidRPr="00227C94">
              <w:t>Disposal of subsidiary</w:t>
            </w:r>
          </w:p>
        </w:tc>
        <w:tc>
          <w:tcPr>
            <w:tcW w:w="1417" w:type="dxa"/>
            <w:shd w:val="clear" w:color="auto" w:fill="auto"/>
            <w:vAlign w:val="bottom"/>
          </w:tcPr>
          <w:p w:rsidR="00916675" w:rsidRPr="00227C94" w:rsidRDefault="00916675" w:rsidP="00291505">
            <w:pPr>
              <w:pStyle w:val="tblNumber00"/>
            </w:pPr>
            <w:r w:rsidRPr="00227C94">
              <w:t>(73)</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rPr>
                <w:b/>
              </w:rPr>
            </w:pPr>
            <w:r w:rsidRPr="00227C94">
              <w:rPr>
                <w:b/>
              </w:rPr>
              <w:t>(73)</w:t>
            </w:r>
          </w:p>
        </w:tc>
      </w:tr>
      <w:tr w:rsidR="00291505" w:rsidRPr="00227C94" w:rsidTr="00A701F4">
        <w:trPr>
          <w:cantSplit/>
        </w:trPr>
        <w:tc>
          <w:tcPr>
            <w:tcW w:w="4160" w:type="dxa"/>
            <w:shd w:val="clear" w:color="auto" w:fill="auto"/>
            <w:vAlign w:val="bottom"/>
          </w:tcPr>
          <w:p w:rsidR="00916675" w:rsidRPr="00227C94" w:rsidRDefault="00916675" w:rsidP="00291505">
            <w:pPr>
              <w:pStyle w:val="tblText02"/>
              <w:rPr>
                <w:lang w:val="en-US"/>
              </w:rPr>
            </w:pPr>
            <w:r w:rsidRPr="00227C94">
              <w:rPr>
                <w:lang w:val="en-US"/>
              </w:rPr>
              <w:t>Effect of translation to presentation currency</w:t>
            </w: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194,987</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bottom w:val="single" w:sz="6" w:space="0" w:color="auto"/>
            </w:tcBorders>
            <w:shd w:val="clear" w:color="auto" w:fill="auto"/>
            <w:vAlign w:val="bottom"/>
          </w:tcPr>
          <w:p w:rsidR="00916675" w:rsidRPr="00227C94" w:rsidRDefault="00916675" w:rsidP="00291505">
            <w:pPr>
              <w:pStyle w:val="tblNumber01"/>
            </w:pPr>
            <w:r w:rsidRPr="00227C94">
              <w:t>5,803</w:t>
            </w:r>
          </w:p>
        </w:tc>
        <w:tc>
          <w:tcPr>
            <w:tcW w:w="113" w:type="dxa"/>
            <w:shd w:val="clear" w:color="auto" w:fill="auto"/>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24,484</w:t>
            </w:r>
          </w:p>
        </w:tc>
        <w:tc>
          <w:tcPr>
            <w:tcW w:w="113" w:type="dxa"/>
            <w:shd w:val="clear" w:color="auto" w:fill="auto"/>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rPr>
                <w:b/>
              </w:rPr>
            </w:pPr>
            <w:r w:rsidRPr="00227C94">
              <w:rPr>
                <w:b/>
              </w:rPr>
              <w:t>225,274</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rPr>
                <w:b/>
              </w:rPr>
            </w:pPr>
            <w:r w:rsidRPr="00227C94">
              <w:rPr>
                <w:b/>
              </w:rPr>
              <w:t>Balance at 30 June 2011</w:t>
            </w:r>
          </w:p>
        </w:tc>
        <w:tc>
          <w:tcPr>
            <w:tcW w:w="1417" w:type="dxa"/>
            <w:tcBorders>
              <w:top w:val="single" w:sz="6" w:space="0" w:color="auto"/>
            </w:tcBorders>
            <w:shd w:val="clear" w:color="auto" w:fill="auto"/>
            <w:vAlign w:val="bottom"/>
          </w:tcPr>
          <w:p w:rsidR="00916675" w:rsidRPr="00227C94" w:rsidRDefault="00916675" w:rsidP="00291505">
            <w:pPr>
              <w:pStyle w:val="tblNumber01"/>
              <w:rPr>
                <w:b/>
              </w:rPr>
            </w:pPr>
            <w:r w:rsidRPr="00227C94">
              <w:rPr>
                <w:b/>
              </w:rPr>
              <w:t>2,666,236</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top w:val="single" w:sz="6" w:space="0" w:color="auto"/>
              <w:left w:val="nil"/>
            </w:tcBorders>
            <w:shd w:val="clear" w:color="auto" w:fill="auto"/>
            <w:vAlign w:val="bottom"/>
          </w:tcPr>
          <w:p w:rsidR="00916675" w:rsidRPr="00227C94" w:rsidRDefault="00916675" w:rsidP="00291505">
            <w:pPr>
              <w:pStyle w:val="tblNumber01"/>
              <w:rPr>
                <w:b/>
              </w:rPr>
            </w:pPr>
            <w:r w:rsidRPr="00227C94">
              <w:rPr>
                <w:b/>
              </w:rPr>
              <w:t>76,958</w:t>
            </w:r>
          </w:p>
        </w:tc>
        <w:tc>
          <w:tcPr>
            <w:tcW w:w="113" w:type="dxa"/>
            <w:shd w:val="clear" w:color="auto" w:fill="auto"/>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rPr>
                <w:b/>
              </w:rPr>
            </w:pPr>
            <w:r w:rsidRPr="00227C94">
              <w:rPr>
                <w:b/>
              </w:rPr>
              <w:t>375,385</w:t>
            </w:r>
          </w:p>
        </w:tc>
        <w:tc>
          <w:tcPr>
            <w:tcW w:w="113" w:type="dxa"/>
            <w:shd w:val="clear" w:color="auto" w:fill="auto"/>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rPr>
                <w:b/>
              </w:rPr>
            </w:pPr>
            <w:r w:rsidRPr="00227C94">
              <w:rPr>
                <w:b/>
              </w:rPr>
              <w:t>3,118,579</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pPr>
            <w:r w:rsidRPr="00227C94">
              <w:t>Additions</w:t>
            </w:r>
          </w:p>
        </w:tc>
        <w:tc>
          <w:tcPr>
            <w:tcW w:w="1417" w:type="dxa"/>
            <w:shd w:val="clear" w:color="auto" w:fill="auto"/>
            <w:vAlign w:val="bottom"/>
          </w:tcPr>
          <w:p w:rsidR="00916675" w:rsidRPr="00227C94" w:rsidRDefault="00916675" w:rsidP="00291505">
            <w:pPr>
              <w:pStyle w:val="tblNumber01"/>
            </w:pPr>
            <w:r w:rsidRPr="00227C94">
              <w:t>34,765</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1"/>
            </w:pPr>
            <w:r w:rsidRPr="00227C94">
              <w:t>13,546</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r w:rsidRPr="00227C94">
              <w:t>120,079</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rPr>
                <w:b/>
              </w:rPr>
            </w:pPr>
            <w:r w:rsidRPr="00227C94">
              <w:rPr>
                <w:b/>
              </w:rPr>
              <w:t>168,390</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rPr>
                <w:lang w:val="en-US"/>
              </w:rPr>
            </w:pPr>
            <w:r w:rsidRPr="00227C94">
              <w:rPr>
                <w:lang w:val="en-US"/>
              </w:rPr>
              <w:t>Transfers from capital construction-in-progress</w:t>
            </w:r>
          </w:p>
        </w:tc>
        <w:tc>
          <w:tcPr>
            <w:tcW w:w="1417" w:type="dxa"/>
            <w:shd w:val="clear" w:color="auto" w:fill="auto"/>
            <w:vAlign w:val="bottom"/>
          </w:tcPr>
          <w:p w:rsidR="00916675" w:rsidRPr="00227C94" w:rsidRDefault="00916675" w:rsidP="00291505">
            <w:pPr>
              <w:pStyle w:val="tblNumber01"/>
            </w:pPr>
            <w:r w:rsidRPr="00227C94">
              <w:t>88,396</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0"/>
            </w:pPr>
            <w:r w:rsidRPr="00227C94">
              <w:t>(26,803)</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pPr>
            <w:r w:rsidRPr="00227C94">
              <w:t>(61,593)</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rPr>
                <w:b/>
              </w:rPr>
            </w:pPr>
            <w:r w:rsidRPr="00227C94">
              <w:rPr>
                <w:b/>
              </w:rPr>
              <w:t>-</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rPr>
                <w:lang w:val="en-US"/>
              </w:rPr>
            </w:pPr>
            <w:r w:rsidRPr="00227C94">
              <w:rPr>
                <w:lang w:val="en-US"/>
              </w:rPr>
              <w:t>Transfers from exploration and evaluation assets (note 11)</w:t>
            </w:r>
          </w:p>
        </w:tc>
        <w:tc>
          <w:tcPr>
            <w:tcW w:w="1417" w:type="dxa"/>
            <w:shd w:val="clear" w:color="auto" w:fill="auto"/>
            <w:vAlign w:val="bottom"/>
          </w:tcPr>
          <w:p w:rsidR="00916675" w:rsidRPr="00227C94" w:rsidRDefault="00916675" w:rsidP="00291505">
            <w:pPr>
              <w:pStyle w:val="tblNumber01"/>
            </w:pPr>
            <w:r w:rsidRPr="00227C94">
              <w:t>264</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rPr>
                <w:b/>
              </w:rPr>
            </w:pPr>
            <w:r w:rsidRPr="00227C94">
              <w:rPr>
                <w:b/>
              </w:rPr>
              <w:t>264</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pPr>
            <w:r w:rsidRPr="00227C94">
              <w:t>Change in decommissioning liabilities</w:t>
            </w:r>
          </w:p>
        </w:tc>
        <w:tc>
          <w:tcPr>
            <w:tcW w:w="1417" w:type="dxa"/>
            <w:shd w:val="clear" w:color="auto" w:fill="auto"/>
            <w:vAlign w:val="bottom"/>
          </w:tcPr>
          <w:p w:rsidR="00916675" w:rsidRPr="00227C94" w:rsidRDefault="00916675" w:rsidP="00291505">
            <w:pPr>
              <w:pStyle w:val="tblNumber01"/>
            </w:pPr>
            <w:r w:rsidRPr="00227C94">
              <w:t>9,624</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rPr>
                <w:b/>
              </w:rPr>
            </w:pPr>
            <w:r w:rsidRPr="00227C94">
              <w:rPr>
                <w:b/>
              </w:rPr>
              <w:t>9,624</w:t>
            </w:r>
          </w:p>
        </w:tc>
      </w:tr>
      <w:tr w:rsidR="00291505" w:rsidRPr="00227C94" w:rsidTr="00A701F4">
        <w:trPr>
          <w:cantSplit/>
        </w:trPr>
        <w:tc>
          <w:tcPr>
            <w:tcW w:w="4160" w:type="dxa"/>
            <w:shd w:val="clear" w:color="auto" w:fill="auto"/>
            <w:vAlign w:val="bottom"/>
          </w:tcPr>
          <w:p w:rsidR="00916675" w:rsidRPr="00227C94" w:rsidRDefault="00916675" w:rsidP="00291505">
            <w:pPr>
              <w:pStyle w:val="tblText02"/>
            </w:pPr>
            <w:r w:rsidRPr="00227C94">
              <w:t>Disposals</w:t>
            </w:r>
          </w:p>
        </w:tc>
        <w:tc>
          <w:tcPr>
            <w:tcW w:w="1417" w:type="dxa"/>
            <w:shd w:val="clear" w:color="auto" w:fill="auto"/>
            <w:vAlign w:val="bottom"/>
          </w:tcPr>
          <w:p w:rsidR="00916675" w:rsidRPr="00227C94" w:rsidRDefault="00916675" w:rsidP="00291505">
            <w:pPr>
              <w:pStyle w:val="tblNumber00"/>
            </w:pPr>
            <w:r w:rsidRPr="00227C94">
              <w:t>(14,159)</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0"/>
            </w:pPr>
            <w:r w:rsidRPr="00227C94">
              <w:t>(190)</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pPr>
            <w:r w:rsidRPr="00227C94">
              <w:t>(374)</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rPr>
                <w:b/>
              </w:rPr>
            </w:pPr>
            <w:r w:rsidRPr="00227C94">
              <w:rPr>
                <w:b/>
              </w:rPr>
              <w:t>(14,723)</w:t>
            </w:r>
          </w:p>
        </w:tc>
      </w:tr>
      <w:tr w:rsidR="00291505" w:rsidRPr="00227C94" w:rsidTr="00A701F4">
        <w:trPr>
          <w:cantSplit/>
        </w:trPr>
        <w:tc>
          <w:tcPr>
            <w:tcW w:w="4160" w:type="dxa"/>
            <w:shd w:val="clear" w:color="auto" w:fill="auto"/>
            <w:vAlign w:val="bottom"/>
          </w:tcPr>
          <w:p w:rsidR="00916675" w:rsidRPr="00227C94" w:rsidRDefault="00916675" w:rsidP="00291505">
            <w:pPr>
              <w:pStyle w:val="tblText02"/>
              <w:rPr>
                <w:lang w:val="en-US"/>
              </w:rPr>
            </w:pPr>
            <w:r w:rsidRPr="00227C94">
              <w:rPr>
                <w:lang w:val="en-US"/>
              </w:rPr>
              <w:t>Effect of translation to presentation currency</w:t>
            </w: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(325,580)</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bottom w:val="single" w:sz="6" w:space="0" w:color="auto"/>
            </w:tcBorders>
            <w:shd w:val="clear" w:color="auto" w:fill="auto"/>
            <w:vAlign w:val="bottom"/>
          </w:tcPr>
          <w:p w:rsidR="00916675" w:rsidRPr="00227C94" w:rsidRDefault="00916675" w:rsidP="00291505">
            <w:pPr>
              <w:pStyle w:val="tblNumber00"/>
            </w:pPr>
            <w:r w:rsidRPr="00227C94">
              <w:t>(8,322)</w:t>
            </w:r>
          </w:p>
        </w:tc>
        <w:tc>
          <w:tcPr>
            <w:tcW w:w="113" w:type="dxa"/>
            <w:shd w:val="clear" w:color="auto" w:fill="auto"/>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(45,733)</w:t>
            </w:r>
          </w:p>
        </w:tc>
        <w:tc>
          <w:tcPr>
            <w:tcW w:w="113" w:type="dxa"/>
            <w:shd w:val="clear" w:color="auto" w:fill="auto"/>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rPr>
                <w:b/>
              </w:rPr>
            </w:pPr>
            <w:r w:rsidRPr="00227C94">
              <w:rPr>
                <w:b/>
              </w:rPr>
              <w:t>(379,635)</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rPr>
                <w:b/>
              </w:rPr>
            </w:pPr>
            <w:r w:rsidRPr="00227C94">
              <w:rPr>
                <w:b/>
              </w:rPr>
              <w:t>Balance at 31 December 2011</w:t>
            </w:r>
          </w:p>
        </w:tc>
        <w:tc>
          <w:tcPr>
            <w:tcW w:w="1417" w:type="dxa"/>
            <w:tcBorders>
              <w:top w:val="single" w:sz="6" w:space="0" w:color="auto"/>
            </w:tcBorders>
            <w:shd w:val="clear" w:color="auto" w:fill="auto"/>
            <w:vAlign w:val="bottom"/>
          </w:tcPr>
          <w:p w:rsidR="00916675" w:rsidRPr="00227C94" w:rsidRDefault="00916675" w:rsidP="00291505">
            <w:pPr>
              <w:pStyle w:val="tblNumber01"/>
              <w:rPr>
                <w:b/>
              </w:rPr>
            </w:pPr>
            <w:r w:rsidRPr="00227C94">
              <w:rPr>
                <w:b/>
              </w:rPr>
              <w:t>2,459,546</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top w:val="single" w:sz="6" w:space="0" w:color="auto"/>
              <w:left w:val="nil"/>
            </w:tcBorders>
            <w:shd w:val="clear" w:color="auto" w:fill="auto"/>
            <w:vAlign w:val="bottom"/>
          </w:tcPr>
          <w:p w:rsidR="00916675" w:rsidRPr="00227C94" w:rsidRDefault="00916675" w:rsidP="00291505">
            <w:pPr>
              <w:pStyle w:val="tblNumber01"/>
              <w:rPr>
                <w:b/>
              </w:rPr>
            </w:pPr>
            <w:r w:rsidRPr="00227C94">
              <w:rPr>
                <w:b/>
              </w:rPr>
              <w:t>55,189</w:t>
            </w:r>
          </w:p>
        </w:tc>
        <w:tc>
          <w:tcPr>
            <w:tcW w:w="113" w:type="dxa"/>
            <w:shd w:val="clear" w:color="auto" w:fill="auto"/>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rPr>
                <w:b/>
              </w:rPr>
            </w:pPr>
            <w:r w:rsidRPr="00227C94">
              <w:rPr>
                <w:b/>
              </w:rPr>
              <w:t>387,764</w:t>
            </w:r>
          </w:p>
        </w:tc>
        <w:tc>
          <w:tcPr>
            <w:tcW w:w="113" w:type="dxa"/>
            <w:shd w:val="clear" w:color="auto" w:fill="auto"/>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rPr>
                <w:b/>
              </w:rPr>
            </w:pPr>
            <w:r w:rsidRPr="00227C94">
              <w:rPr>
                <w:b/>
              </w:rPr>
              <w:t>2,902,499</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pPr>
            <w:r w:rsidRPr="00227C94">
              <w:t>Additions</w:t>
            </w:r>
          </w:p>
        </w:tc>
        <w:tc>
          <w:tcPr>
            <w:tcW w:w="1417" w:type="dxa"/>
            <w:shd w:val="clear" w:color="auto" w:fill="auto"/>
            <w:vAlign w:val="bottom"/>
          </w:tcPr>
          <w:p w:rsidR="00916675" w:rsidRPr="00227C94" w:rsidRDefault="00916675" w:rsidP="00291505">
            <w:pPr>
              <w:pStyle w:val="tblNumber01"/>
            </w:pPr>
            <w:r w:rsidRPr="00227C94">
              <w:t>90,332</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1"/>
            </w:pPr>
            <w:r w:rsidRPr="00227C94">
              <w:t>16,988</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r w:rsidRPr="00227C94">
              <w:t>202,520</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rPr>
                <w:b/>
              </w:rPr>
            </w:pPr>
            <w:r w:rsidRPr="00227C94">
              <w:rPr>
                <w:b/>
              </w:rPr>
              <w:t>309,840</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rPr>
                <w:lang w:val="en-US"/>
              </w:rPr>
            </w:pPr>
            <w:r w:rsidRPr="00227C94">
              <w:rPr>
                <w:lang w:val="en-US"/>
              </w:rPr>
              <w:t>Transfers from capital construction-in-progress</w:t>
            </w:r>
          </w:p>
        </w:tc>
        <w:tc>
          <w:tcPr>
            <w:tcW w:w="1417" w:type="dxa"/>
            <w:shd w:val="clear" w:color="auto" w:fill="auto"/>
            <w:vAlign w:val="bottom"/>
          </w:tcPr>
          <w:p w:rsidR="00916675" w:rsidRPr="00227C94" w:rsidRDefault="00916675" w:rsidP="00291505">
            <w:pPr>
              <w:pStyle w:val="tblNumber01"/>
            </w:pPr>
            <w:r w:rsidRPr="00227C94">
              <w:t>29,354</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1"/>
            </w:pPr>
            <w:r w:rsidRPr="00227C94">
              <w:t>3,191</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pPr>
            <w:r w:rsidRPr="00227C94">
              <w:t>(32,545)</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rPr>
                <w:lang w:val="en-US"/>
              </w:rPr>
            </w:pPr>
            <w:r w:rsidRPr="00227C94">
              <w:rPr>
                <w:lang w:val="en-US"/>
              </w:rPr>
              <w:t>Transfers to exploration and evaluation assets (note 11)</w:t>
            </w:r>
          </w:p>
        </w:tc>
        <w:tc>
          <w:tcPr>
            <w:tcW w:w="1417" w:type="dxa"/>
            <w:shd w:val="clear" w:color="auto" w:fill="auto"/>
            <w:vAlign w:val="bottom"/>
          </w:tcPr>
          <w:p w:rsidR="00916675" w:rsidRPr="00227C94" w:rsidRDefault="00916675" w:rsidP="00291505">
            <w:pPr>
              <w:pStyle w:val="tblNumber00"/>
            </w:pPr>
            <w:r w:rsidRPr="00227C94">
              <w:t>(5,337)</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rPr>
                <w:b/>
                <w:bCs/>
              </w:rPr>
            </w:pPr>
            <w:r w:rsidRPr="00227C94">
              <w:rPr>
                <w:b/>
              </w:rPr>
              <w:t>(5,337)</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pPr>
            <w:r w:rsidRPr="00227C94">
              <w:t>Change in decommissioning liabilities</w:t>
            </w:r>
          </w:p>
        </w:tc>
        <w:tc>
          <w:tcPr>
            <w:tcW w:w="1417" w:type="dxa"/>
            <w:shd w:val="clear" w:color="auto" w:fill="auto"/>
            <w:vAlign w:val="bottom"/>
          </w:tcPr>
          <w:p w:rsidR="00916675" w:rsidRPr="00227C94" w:rsidRDefault="00916675" w:rsidP="00291505">
            <w:pPr>
              <w:pStyle w:val="tblNumber01"/>
            </w:pPr>
            <w:r w:rsidRPr="00227C94">
              <w:t>1,364</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rPr>
                <w:b/>
              </w:rPr>
            </w:pPr>
            <w:r w:rsidRPr="00227C94">
              <w:rPr>
                <w:b/>
              </w:rPr>
              <w:t>1,364</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pPr>
            <w:r w:rsidRPr="00227C94">
              <w:t>Disposals</w:t>
            </w:r>
          </w:p>
        </w:tc>
        <w:tc>
          <w:tcPr>
            <w:tcW w:w="1417" w:type="dxa"/>
            <w:shd w:val="clear" w:color="auto" w:fill="auto"/>
            <w:vAlign w:val="bottom"/>
          </w:tcPr>
          <w:p w:rsidR="00916675" w:rsidRPr="00227C94" w:rsidRDefault="00916675" w:rsidP="00291505">
            <w:pPr>
              <w:pStyle w:val="tblNumber00"/>
            </w:pPr>
            <w:r w:rsidRPr="00227C94">
              <w:t>(8,846)</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0"/>
            </w:pPr>
            <w:r w:rsidRPr="00227C94">
              <w:t>(1,246)</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pPr>
            <w:r w:rsidRPr="00227C94">
              <w:t>(791)</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rPr>
                <w:b/>
                <w:bCs/>
              </w:rPr>
            </w:pPr>
            <w:r w:rsidRPr="00227C94">
              <w:rPr>
                <w:b/>
              </w:rPr>
              <w:t>(10,883)</w:t>
            </w:r>
          </w:p>
        </w:tc>
      </w:tr>
      <w:tr w:rsidR="00291505" w:rsidRPr="00227C94" w:rsidTr="00A701F4">
        <w:trPr>
          <w:cantSplit/>
        </w:trPr>
        <w:tc>
          <w:tcPr>
            <w:tcW w:w="4160" w:type="dxa"/>
            <w:shd w:val="clear" w:color="auto" w:fill="auto"/>
            <w:vAlign w:val="bottom"/>
          </w:tcPr>
          <w:p w:rsidR="00916675" w:rsidRPr="00227C94" w:rsidRDefault="00916675" w:rsidP="00291505">
            <w:pPr>
              <w:pStyle w:val="tblText02"/>
            </w:pPr>
            <w:r w:rsidRPr="00227C94">
              <w:t>Disposals of subsidiaries</w:t>
            </w:r>
          </w:p>
        </w:tc>
        <w:tc>
          <w:tcPr>
            <w:tcW w:w="1417" w:type="dxa"/>
            <w:shd w:val="clear" w:color="auto" w:fill="auto"/>
            <w:vAlign w:val="bottom"/>
          </w:tcPr>
          <w:p w:rsidR="00916675" w:rsidRPr="00227C94" w:rsidRDefault="00916675" w:rsidP="00291505">
            <w:pPr>
              <w:pStyle w:val="tblNumber00"/>
            </w:pPr>
            <w:r w:rsidRPr="00227C94">
              <w:t>(13,580)</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pPr>
            <w:r w:rsidRPr="00227C94">
              <w:t>(6,572)</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rPr>
                <w:b/>
                <w:bCs/>
              </w:rPr>
            </w:pPr>
            <w:r w:rsidRPr="00227C94">
              <w:rPr>
                <w:b/>
              </w:rPr>
              <w:t>(20,152)</w:t>
            </w:r>
          </w:p>
        </w:tc>
      </w:tr>
      <w:tr w:rsidR="00291505" w:rsidRPr="00227C94" w:rsidTr="00A701F4">
        <w:trPr>
          <w:cantSplit/>
        </w:trPr>
        <w:tc>
          <w:tcPr>
            <w:tcW w:w="4160" w:type="dxa"/>
            <w:shd w:val="clear" w:color="auto" w:fill="auto"/>
            <w:vAlign w:val="bottom"/>
          </w:tcPr>
          <w:p w:rsidR="00916675" w:rsidRPr="00227C94" w:rsidRDefault="00916675" w:rsidP="00291505">
            <w:pPr>
              <w:pStyle w:val="tblText02"/>
              <w:rPr>
                <w:lang w:val="en-US"/>
              </w:rPr>
            </w:pPr>
            <w:r w:rsidRPr="00227C94">
              <w:rPr>
                <w:lang w:val="en-US"/>
              </w:rPr>
              <w:t>Effect of translation to presentation currency</w:t>
            </w: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(48,648)</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bottom w:val="single" w:sz="6" w:space="0" w:color="auto"/>
            </w:tcBorders>
            <w:shd w:val="clear" w:color="auto" w:fill="auto"/>
            <w:vAlign w:val="bottom"/>
          </w:tcPr>
          <w:p w:rsidR="00916675" w:rsidRPr="00227C94" w:rsidRDefault="00916675" w:rsidP="00291505">
            <w:pPr>
              <w:pStyle w:val="tblNumber00"/>
            </w:pPr>
            <w:r w:rsidRPr="00227C94">
              <w:t>(2,230)</w:t>
            </w:r>
          </w:p>
        </w:tc>
        <w:tc>
          <w:tcPr>
            <w:tcW w:w="113" w:type="dxa"/>
            <w:shd w:val="clear" w:color="auto" w:fill="auto"/>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(17,179)</w:t>
            </w:r>
          </w:p>
        </w:tc>
        <w:tc>
          <w:tcPr>
            <w:tcW w:w="113" w:type="dxa"/>
            <w:shd w:val="clear" w:color="auto" w:fill="auto"/>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rPr>
                <w:b/>
                <w:bCs/>
              </w:rPr>
            </w:pPr>
            <w:r w:rsidRPr="00227C94">
              <w:rPr>
                <w:b/>
              </w:rPr>
              <w:t>(68,057)</w:t>
            </w:r>
          </w:p>
        </w:tc>
      </w:tr>
      <w:tr w:rsidR="00291505" w:rsidRPr="00227C94" w:rsidTr="00A701F4">
        <w:trPr>
          <w:cantSplit/>
        </w:trPr>
        <w:tc>
          <w:tcPr>
            <w:tcW w:w="4160" w:type="dxa"/>
            <w:shd w:val="clear" w:color="auto" w:fill="auto"/>
            <w:vAlign w:val="bottom"/>
          </w:tcPr>
          <w:p w:rsidR="00916675" w:rsidRPr="00227C94" w:rsidRDefault="00916675" w:rsidP="00291505">
            <w:pPr>
              <w:pStyle w:val="tblText02"/>
              <w:rPr>
                <w:b/>
              </w:rPr>
            </w:pPr>
            <w:r w:rsidRPr="00227C94">
              <w:rPr>
                <w:b/>
              </w:rPr>
              <w:t>Balance at 30 June 2012</w:t>
            </w:r>
          </w:p>
        </w:tc>
        <w:tc>
          <w:tcPr>
            <w:tcW w:w="1417" w:type="dxa"/>
            <w:tcBorders>
              <w:top w:val="single" w:sz="6" w:space="0" w:color="auto"/>
              <w:bottom w:val="double" w:sz="6" w:space="0" w:color="auto"/>
            </w:tcBorders>
            <w:shd w:val="clear" w:color="auto" w:fill="auto"/>
            <w:vAlign w:val="bottom"/>
          </w:tcPr>
          <w:p w:rsidR="00916675" w:rsidRPr="00227C94" w:rsidRDefault="00916675" w:rsidP="00291505">
            <w:pPr>
              <w:pStyle w:val="tblNumber01"/>
              <w:rPr>
                <w:b/>
              </w:rPr>
            </w:pPr>
            <w:r w:rsidRPr="00227C94">
              <w:rPr>
                <w:b/>
              </w:rPr>
              <w:t>2,504,185</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top w:val="single" w:sz="6" w:space="0" w:color="auto"/>
              <w:left w:val="nil"/>
              <w:bottom w:val="double" w:sz="6" w:space="0" w:color="auto"/>
            </w:tcBorders>
            <w:shd w:val="clear" w:color="auto" w:fill="auto"/>
            <w:vAlign w:val="bottom"/>
          </w:tcPr>
          <w:p w:rsidR="00916675" w:rsidRPr="00227C94" w:rsidRDefault="00916675" w:rsidP="00291505">
            <w:pPr>
              <w:pStyle w:val="tblNumber01"/>
              <w:rPr>
                <w:b/>
              </w:rPr>
            </w:pPr>
            <w:r w:rsidRPr="00227C94">
              <w:rPr>
                <w:b/>
              </w:rPr>
              <w:t>71,892</w:t>
            </w:r>
          </w:p>
        </w:tc>
        <w:tc>
          <w:tcPr>
            <w:tcW w:w="113" w:type="dxa"/>
            <w:shd w:val="clear" w:color="auto" w:fill="auto"/>
            <w:vAlign w:val="bottom"/>
          </w:tcPr>
          <w:p w:rsidR="00916675" w:rsidRPr="00227C94" w:rsidRDefault="00916675" w:rsidP="00291505">
            <w:pPr>
              <w:pStyle w:val="tblNumber01"/>
            </w:pPr>
          </w:p>
        </w:tc>
        <w:tc>
          <w:tcPr>
            <w:tcW w:w="1417" w:type="dxa"/>
            <w:tcBorders>
              <w:top w:val="single" w:sz="6" w:space="0" w:color="auto"/>
              <w:bottom w:val="double" w:sz="6" w:space="0" w:color="auto"/>
            </w:tcBorders>
            <w:shd w:val="clear" w:color="auto" w:fill="auto"/>
            <w:vAlign w:val="bottom"/>
          </w:tcPr>
          <w:p w:rsidR="00916675" w:rsidRPr="00227C94" w:rsidRDefault="00916675" w:rsidP="00291505">
            <w:pPr>
              <w:pStyle w:val="tblNumber01"/>
              <w:rPr>
                <w:b/>
              </w:rPr>
            </w:pPr>
            <w:r w:rsidRPr="00227C94">
              <w:rPr>
                <w:b/>
              </w:rPr>
              <w:t>533,197</w:t>
            </w:r>
          </w:p>
        </w:tc>
        <w:tc>
          <w:tcPr>
            <w:tcW w:w="113" w:type="dxa"/>
            <w:shd w:val="clear" w:color="auto" w:fill="auto"/>
            <w:vAlign w:val="bottom"/>
          </w:tcPr>
          <w:p w:rsidR="00916675" w:rsidRPr="00227C94" w:rsidRDefault="00916675" w:rsidP="00291505">
            <w:pPr>
              <w:pStyle w:val="tblNumber01"/>
            </w:pPr>
          </w:p>
        </w:tc>
        <w:tc>
          <w:tcPr>
            <w:tcW w:w="1417" w:type="dxa"/>
            <w:tcBorders>
              <w:top w:val="single" w:sz="6" w:space="0" w:color="auto"/>
              <w:bottom w:val="double" w:sz="6" w:space="0" w:color="auto"/>
            </w:tcBorders>
            <w:shd w:val="clear" w:color="auto" w:fill="auto"/>
            <w:vAlign w:val="bottom"/>
          </w:tcPr>
          <w:p w:rsidR="00916675" w:rsidRPr="00227C94" w:rsidRDefault="00916675" w:rsidP="00291505">
            <w:pPr>
              <w:pStyle w:val="tblNumber01"/>
              <w:rPr>
                <w:b/>
              </w:rPr>
            </w:pPr>
            <w:r w:rsidRPr="00227C94">
              <w:rPr>
                <w:b/>
              </w:rPr>
              <w:t>3,109,274</w:t>
            </w:r>
          </w:p>
        </w:tc>
      </w:tr>
      <w:tr w:rsidR="00291505" w:rsidRPr="00227C94" w:rsidTr="00291505">
        <w:trPr>
          <w:cantSplit/>
          <w:trHeight w:hRule="exact" w:val="113"/>
        </w:trPr>
        <w:tc>
          <w:tcPr>
            <w:tcW w:w="4160" w:type="dxa"/>
            <w:shd w:val="clear" w:color="auto" w:fill="auto"/>
            <w:vAlign w:val="bottom"/>
          </w:tcPr>
          <w:p w:rsidR="00916675" w:rsidRPr="00227C94" w:rsidRDefault="00916675" w:rsidP="00291505">
            <w:pPr>
              <w:pStyle w:val="tblText02"/>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top w:val="double" w:sz="6" w:space="0" w:color="auto"/>
              <w:left w:val="nil"/>
            </w:tcBorders>
            <w:shd w:val="clear" w:color="auto" w:fill="auto"/>
            <w:vAlign w:val="bottom"/>
          </w:tcPr>
          <w:p w:rsidR="00916675" w:rsidRPr="00227C94" w:rsidRDefault="00916675" w:rsidP="00291505">
            <w:pPr>
              <w:pStyle w:val="tblNumber01"/>
            </w:pPr>
          </w:p>
        </w:tc>
        <w:tc>
          <w:tcPr>
            <w:tcW w:w="113" w:type="dxa"/>
            <w:shd w:val="clear" w:color="auto" w:fill="auto"/>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113" w:type="dxa"/>
            <w:shd w:val="clear" w:color="auto" w:fill="auto"/>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rPr>
                <w:b/>
                <w:lang w:val="en-US"/>
              </w:rPr>
            </w:pPr>
            <w:r w:rsidRPr="00227C94">
              <w:rPr>
                <w:b/>
                <w:lang w:val="en-US"/>
              </w:rPr>
              <w:t>Accumulated amortisation, depreciation and impairment</w:t>
            </w:r>
          </w:p>
        </w:tc>
        <w:tc>
          <w:tcPr>
            <w:tcW w:w="1417" w:type="dxa"/>
            <w:shd w:val="clear" w:color="auto" w:fill="auto"/>
            <w:vAlign w:val="bottom"/>
          </w:tcPr>
          <w:p w:rsidR="00916675" w:rsidRPr="00227C94" w:rsidRDefault="00916675" w:rsidP="00291505">
            <w:pPr>
              <w:pStyle w:val="tblNumber01"/>
              <w:rPr>
                <w:lang w:val="en-US"/>
              </w:rPr>
            </w:pPr>
          </w:p>
        </w:tc>
        <w:tc>
          <w:tcPr>
            <w:tcW w:w="113" w:type="dxa"/>
            <w:tcBorders>
              <w:right w:val="nil"/>
            </w:tcBorders>
            <w:shd w:val="clear" w:color="auto" w:fill="auto"/>
            <w:vAlign w:val="bottom"/>
          </w:tcPr>
          <w:p w:rsidR="00916675" w:rsidRPr="00227C94" w:rsidRDefault="00916675" w:rsidP="00291505">
            <w:pPr>
              <w:pStyle w:val="tblNumber01"/>
              <w:rPr>
                <w:lang w:val="en-US"/>
              </w:rPr>
            </w:pPr>
          </w:p>
        </w:tc>
        <w:tc>
          <w:tcPr>
            <w:tcW w:w="1417" w:type="dxa"/>
            <w:tcBorders>
              <w:left w:val="nil"/>
            </w:tcBorders>
            <w:shd w:val="clear" w:color="auto" w:fill="auto"/>
            <w:vAlign w:val="bottom"/>
          </w:tcPr>
          <w:p w:rsidR="00916675" w:rsidRPr="00227C94" w:rsidRDefault="00916675" w:rsidP="00291505">
            <w:pPr>
              <w:pStyle w:val="tblNumber01"/>
              <w:rPr>
                <w:lang w:val="en-US"/>
              </w:rPr>
            </w:pPr>
          </w:p>
        </w:tc>
        <w:tc>
          <w:tcPr>
            <w:tcW w:w="113" w:type="dxa"/>
            <w:shd w:val="clear" w:color="auto" w:fill="auto"/>
            <w:vAlign w:val="bottom"/>
          </w:tcPr>
          <w:p w:rsidR="00916675" w:rsidRPr="00227C94" w:rsidRDefault="00916675" w:rsidP="00291505">
            <w:pPr>
              <w:pStyle w:val="tblNumber01"/>
              <w:rPr>
                <w:lang w:val="en-US"/>
              </w:rPr>
            </w:pPr>
          </w:p>
        </w:tc>
        <w:tc>
          <w:tcPr>
            <w:tcW w:w="1417" w:type="dxa"/>
            <w:shd w:val="clear" w:color="auto" w:fill="auto"/>
            <w:vAlign w:val="bottom"/>
          </w:tcPr>
          <w:p w:rsidR="00916675" w:rsidRPr="00227C94" w:rsidRDefault="00916675" w:rsidP="00291505">
            <w:pPr>
              <w:pStyle w:val="tblNumber01"/>
              <w:rPr>
                <w:lang w:val="en-US"/>
              </w:rPr>
            </w:pPr>
          </w:p>
        </w:tc>
        <w:tc>
          <w:tcPr>
            <w:tcW w:w="113" w:type="dxa"/>
            <w:shd w:val="clear" w:color="auto" w:fill="auto"/>
            <w:vAlign w:val="bottom"/>
          </w:tcPr>
          <w:p w:rsidR="00916675" w:rsidRPr="00227C94" w:rsidRDefault="00916675" w:rsidP="00291505">
            <w:pPr>
              <w:pStyle w:val="tblNumber01"/>
              <w:rPr>
                <w:lang w:val="en-US"/>
              </w:rPr>
            </w:pPr>
          </w:p>
        </w:tc>
        <w:tc>
          <w:tcPr>
            <w:tcW w:w="1417" w:type="dxa"/>
            <w:shd w:val="clear" w:color="auto" w:fill="auto"/>
            <w:vAlign w:val="bottom"/>
          </w:tcPr>
          <w:p w:rsidR="00916675" w:rsidRPr="00227C94" w:rsidRDefault="00916675" w:rsidP="00291505">
            <w:pPr>
              <w:pStyle w:val="tblNumber01"/>
              <w:rPr>
                <w:lang w:val="en-US"/>
              </w:rPr>
            </w:pP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rPr>
                <w:b/>
              </w:rPr>
            </w:pPr>
            <w:r w:rsidRPr="00227C94">
              <w:rPr>
                <w:b/>
              </w:rPr>
              <w:t>Balance at 31 December 2010</w:t>
            </w:r>
          </w:p>
        </w:tc>
        <w:tc>
          <w:tcPr>
            <w:tcW w:w="1417" w:type="dxa"/>
            <w:shd w:val="clear" w:color="auto" w:fill="auto"/>
            <w:vAlign w:val="bottom"/>
          </w:tcPr>
          <w:p w:rsidR="00916675" w:rsidRPr="00227C94" w:rsidRDefault="00916675" w:rsidP="00291505">
            <w:pPr>
              <w:pStyle w:val="tblNumber00"/>
              <w:rPr>
                <w:b/>
              </w:rPr>
            </w:pPr>
            <w:r w:rsidRPr="00227C94">
              <w:rPr>
                <w:b/>
              </w:rPr>
              <w:t>(634,041)</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0"/>
              <w:rPr>
                <w:b/>
              </w:rPr>
            </w:pPr>
            <w:r w:rsidRPr="00227C94">
              <w:rPr>
                <w:b/>
              </w:rPr>
              <w:t>(29,591)</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rPr>
                <w:b/>
              </w:rPr>
            </w:pPr>
            <w:r w:rsidRPr="00227C94">
              <w:rPr>
                <w:b/>
              </w:rPr>
              <w:t>(16,676)</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rPr>
                <w:b/>
              </w:rPr>
            </w:pPr>
            <w:r w:rsidRPr="00227C94">
              <w:rPr>
                <w:b/>
              </w:rPr>
              <w:t>(680,308)</w:t>
            </w:r>
          </w:p>
        </w:tc>
      </w:tr>
      <w:tr w:rsidR="00291505" w:rsidRPr="00227C94" w:rsidTr="00291505">
        <w:trPr>
          <w:cantSplit/>
        </w:trPr>
        <w:tc>
          <w:tcPr>
            <w:tcW w:w="4160" w:type="dxa"/>
            <w:shd w:val="clear" w:color="auto" w:fill="auto"/>
          </w:tcPr>
          <w:p w:rsidR="00916675" w:rsidRPr="00227C94" w:rsidRDefault="00916675" w:rsidP="00291505">
            <w:pPr>
              <w:pStyle w:val="tblText02"/>
            </w:pPr>
            <w:r w:rsidRPr="00227C94">
              <w:t>Charge for the period</w:t>
            </w:r>
          </w:p>
        </w:tc>
        <w:tc>
          <w:tcPr>
            <w:tcW w:w="1417" w:type="dxa"/>
            <w:shd w:val="clear" w:color="auto" w:fill="auto"/>
            <w:vAlign w:val="bottom"/>
          </w:tcPr>
          <w:p w:rsidR="00916675" w:rsidRPr="00227C94" w:rsidRDefault="00916675" w:rsidP="00291505">
            <w:pPr>
              <w:pStyle w:val="tblNumber00"/>
            </w:pPr>
            <w:r w:rsidRPr="00227C94">
              <w:t>(102,518)</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0"/>
            </w:pPr>
            <w:r w:rsidRPr="00227C94">
              <w:t>(2,718)</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rPr>
                <w:b/>
              </w:rPr>
            </w:pPr>
            <w:r w:rsidRPr="00227C94">
              <w:rPr>
                <w:b/>
              </w:rPr>
              <w:t>(105,236)</w:t>
            </w:r>
          </w:p>
        </w:tc>
      </w:tr>
      <w:tr w:rsidR="00291505" w:rsidRPr="00227C94" w:rsidTr="00291505">
        <w:trPr>
          <w:cantSplit/>
        </w:trPr>
        <w:tc>
          <w:tcPr>
            <w:tcW w:w="4160" w:type="dxa"/>
            <w:shd w:val="clear" w:color="auto" w:fill="auto"/>
          </w:tcPr>
          <w:p w:rsidR="00916675" w:rsidRPr="00227C94" w:rsidRDefault="00916675" w:rsidP="00291505">
            <w:pPr>
              <w:pStyle w:val="tblText02"/>
            </w:pPr>
            <w:r w:rsidRPr="00227C94">
              <w:t>Disposals</w:t>
            </w:r>
          </w:p>
        </w:tc>
        <w:tc>
          <w:tcPr>
            <w:tcW w:w="1417" w:type="dxa"/>
            <w:shd w:val="clear" w:color="auto" w:fill="auto"/>
            <w:vAlign w:val="bottom"/>
          </w:tcPr>
          <w:p w:rsidR="00916675" w:rsidRPr="00227C94" w:rsidRDefault="00916675" w:rsidP="00291505">
            <w:pPr>
              <w:pStyle w:val="tblNumber01"/>
            </w:pPr>
            <w:r w:rsidRPr="00227C94">
              <w:t>8,597</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1"/>
            </w:pPr>
            <w:r w:rsidRPr="00227C94">
              <w:t>256</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rPr>
                <w:b/>
              </w:rPr>
            </w:pPr>
            <w:r w:rsidRPr="00227C94">
              <w:rPr>
                <w:b/>
              </w:rPr>
              <w:t>8,853</w:t>
            </w:r>
          </w:p>
        </w:tc>
      </w:tr>
      <w:tr w:rsidR="00291505" w:rsidRPr="00227C94" w:rsidTr="00A701F4">
        <w:trPr>
          <w:cantSplit/>
        </w:trPr>
        <w:tc>
          <w:tcPr>
            <w:tcW w:w="4160" w:type="dxa"/>
            <w:shd w:val="clear" w:color="auto" w:fill="auto"/>
          </w:tcPr>
          <w:p w:rsidR="00916675" w:rsidRPr="00227C94" w:rsidRDefault="00916675" w:rsidP="00291505">
            <w:pPr>
              <w:pStyle w:val="tblText02"/>
            </w:pPr>
            <w:r w:rsidRPr="00227C94">
              <w:t>Impairment</w:t>
            </w:r>
          </w:p>
        </w:tc>
        <w:tc>
          <w:tcPr>
            <w:tcW w:w="1417" w:type="dxa"/>
            <w:shd w:val="clear" w:color="auto" w:fill="auto"/>
            <w:vAlign w:val="bottom"/>
          </w:tcPr>
          <w:p w:rsidR="00916675" w:rsidRPr="00227C94" w:rsidRDefault="00916675" w:rsidP="00291505">
            <w:pPr>
              <w:pStyle w:val="tblNumber00"/>
            </w:pPr>
            <w:r w:rsidRPr="00227C94">
              <w:t>(7,639)</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0"/>
            </w:pPr>
            <w:r w:rsidRPr="00227C94">
              <w:t>(5)</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rPr>
                <w:b/>
              </w:rPr>
            </w:pPr>
            <w:r w:rsidRPr="00227C94">
              <w:rPr>
                <w:b/>
              </w:rPr>
              <w:t>(7,644)</w:t>
            </w:r>
          </w:p>
        </w:tc>
      </w:tr>
      <w:tr w:rsidR="00291505" w:rsidRPr="00227C94" w:rsidTr="00A701F4">
        <w:trPr>
          <w:cantSplit/>
        </w:trPr>
        <w:tc>
          <w:tcPr>
            <w:tcW w:w="4160" w:type="dxa"/>
            <w:shd w:val="clear" w:color="auto" w:fill="auto"/>
          </w:tcPr>
          <w:p w:rsidR="00916675" w:rsidRPr="00227C94" w:rsidRDefault="00916675" w:rsidP="00291505">
            <w:pPr>
              <w:pStyle w:val="tblText02"/>
              <w:rPr>
                <w:lang w:val="en-US"/>
              </w:rPr>
            </w:pPr>
            <w:r w:rsidRPr="00227C94">
              <w:rPr>
                <w:lang w:val="en-US"/>
              </w:rPr>
              <w:t>Effect of translation to presentation currency</w:t>
            </w: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(53,019)</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bottom w:val="single" w:sz="6" w:space="0" w:color="auto"/>
            </w:tcBorders>
            <w:shd w:val="clear" w:color="auto" w:fill="auto"/>
            <w:vAlign w:val="bottom"/>
          </w:tcPr>
          <w:p w:rsidR="00916675" w:rsidRPr="00227C94" w:rsidRDefault="00916675" w:rsidP="00291505">
            <w:pPr>
              <w:pStyle w:val="tblNumber00"/>
            </w:pPr>
            <w:r w:rsidRPr="00227C94">
              <w:t>(2,550)</w:t>
            </w:r>
          </w:p>
        </w:tc>
        <w:tc>
          <w:tcPr>
            <w:tcW w:w="113" w:type="dxa"/>
            <w:shd w:val="clear" w:color="auto" w:fill="auto"/>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(906)</w:t>
            </w:r>
          </w:p>
        </w:tc>
        <w:tc>
          <w:tcPr>
            <w:tcW w:w="113" w:type="dxa"/>
            <w:shd w:val="clear" w:color="auto" w:fill="auto"/>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rPr>
                <w:b/>
              </w:rPr>
            </w:pPr>
            <w:r w:rsidRPr="00227C94">
              <w:rPr>
                <w:b/>
              </w:rPr>
              <w:t>(56,475)</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rPr>
                <w:b/>
              </w:rPr>
            </w:pPr>
            <w:r w:rsidRPr="00227C94">
              <w:rPr>
                <w:b/>
              </w:rPr>
              <w:t>Balance at 30 June 2011</w:t>
            </w:r>
          </w:p>
        </w:tc>
        <w:tc>
          <w:tcPr>
            <w:tcW w:w="1417" w:type="dxa"/>
            <w:tcBorders>
              <w:top w:val="single" w:sz="6" w:space="0" w:color="auto"/>
            </w:tcBorders>
            <w:shd w:val="clear" w:color="auto" w:fill="auto"/>
            <w:vAlign w:val="bottom"/>
          </w:tcPr>
          <w:p w:rsidR="00916675" w:rsidRPr="00227C94" w:rsidRDefault="00916675" w:rsidP="00291505">
            <w:pPr>
              <w:pStyle w:val="tblNumber00"/>
              <w:rPr>
                <w:b/>
              </w:rPr>
            </w:pPr>
            <w:r w:rsidRPr="00227C94">
              <w:rPr>
                <w:b/>
              </w:rPr>
              <w:t>(788,620)</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top w:val="single" w:sz="6" w:space="0" w:color="auto"/>
              <w:left w:val="nil"/>
            </w:tcBorders>
            <w:shd w:val="clear" w:color="auto" w:fill="auto"/>
            <w:vAlign w:val="bottom"/>
          </w:tcPr>
          <w:p w:rsidR="00916675" w:rsidRPr="00227C94" w:rsidRDefault="00916675" w:rsidP="00291505">
            <w:pPr>
              <w:pStyle w:val="tblNumber00"/>
              <w:rPr>
                <w:b/>
              </w:rPr>
            </w:pPr>
            <w:r w:rsidRPr="00227C94">
              <w:rPr>
                <w:b/>
              </w:rPr>
              <w:t>(34,608)</w:t>
            </w:r>
          </w:p>
        </w:tc>
        <w:tc>
          <w:tcPr>
            <w:tcW w:w="113" w:type="dxa"/>
            <w:shd w:val="clear" w:color="auto" w:fill="auto"/>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0"/>
              <w:rPr>
                <w:b/>
              </w:rPr>
            </w:pPr>
            <w:r w:rsidRPr="00227C94">
              <w:rPr>
                <w:b/>
              </w:rPr>
              <w:t>(17,582)</w:t>
            </w:r>
          </w:p>
        </w:tc>
        <w:tc>
          <w:tcPr>
            <w:tcW w:w="113" w:type="dxa"/>
            <w:shd w:val="clear" w:color="auto" w:fill="auto"/>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0"/>
              <w:rPr>
                <w:b/>
              </w:rPr>
            </w:pPr>
            <w:r w:rsidRPr="00227C94">
              <w:rPr>
                <w:b/>
              </w:rPr>
              <w:t>(840,810)</w:t>
            </w:r>
          </w:p>
        </w:tc>
      </w:tr>
      <w:tr w:rsidR="00291505" w:rsidRPr="00227C94" w:rsidTr="00291505">
        <w:trPr>
          <w:cantSplit/>
        </w:trPr>
        <w:tc>
          <w:tcPr>
            <w:tcW w:w="4160" w:type="dxa"/>
            <w:shd w:val="clear" w:color="auto" w:fill="auto"/>
          </w:tcPr>
          <w:p w:rsidR="00916675" w:rsidRPr="00227C94" w:rsidRDefault="00916675" w:rsidP="00291505">
            <w:pPr>
              <w:pStyle w:val="tblText02"/>
            </w:pPr>
            <w:r w:rsidRPr="00227C94">
              <w:t>Charge for the period</w:t>
            </w:r>
          </w:p>
        </w:tc>
        <w:tc>
          <w:tcPr>
            <w:tcW w:w="1417" w:type="dxa"/>
            <w:shd w:val="clear" w:color="auto" w:fill="auto"/>
            <w:vAlign w:val="bottom"/>
          </w:tcPr>
          <w:p w:rsidR="00916675" w:rsidRPr="00227C94" w:rsidRDefault="00916675" w:rsidP="00291505">
            <w:pPr>
              <w:pStyle w:val="tblNumber00"/>
            </w:pPr>
            <w:r w:rsidRPr="00227C94">
              <w:t>(98,505)</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0"/>
            </w:pPr>
            <w:r w:rsidRPr="00227C94">
              <w:t>(1,998)</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rPr>
                <w:b/>
              </w:rPr>
            </w:pPr>
            <w:r w:rsidRPr="00227C94">
              <w:rPr>
                <w:b/>
              </w:rPr>
              <w:t>(100,503)</w:t>
            </w:r>
          </w:p>
        </w:tc>
      </w:tr>
      <w:tr w:rsidR="00291505" w:rsidRPr="00227C94" w:rsidTr="00291505">
        <w:trPr>
          <w:cantSplit/>
        </w:trPr>
        <w:tc>
          <w:tcPr>
            <w:tcW w:w="4160" w:type="dxa"/>
            <w:shd w:val="clear" w:color="auto" w:fill="auto"/>
          </w:tcPr>
          <w:p w:rsidR="00916675" w:rsidRPr="00227C94" w:rsidRDefault="00916675" w:rsidP="00291505">
            <w:pPr>
              <w:pStyle w:val="tblText02"/>
            </w:pPr>
            <w:r w:rsidRPr="00227C94">
              <w:t>Transfers</w:t>
            </w:r>
          </w:p>
        </w:tc>
        <w:tc>
          <w:tcPr>
            <w:tcW w:w="1417" w:type="dxa"/>
            <w:shd w:val="clear" w:color="auto" w:fill="auto"/>
            <w:vAlign w:val="bottom"/>
          </w:tcPr>
          <w:p w:rsidR="00916675" w:rsidRPr="00227C94" w:rsidRDefault="00916675" w:rsidP="00291505">
            <w:pPr>
              <w:pStyle w:val="tblNumber00"/>
            </w:pPr>
            <w:r w:rsidRPr="00227C94">
              <w:t>(10,335)</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1"/>
            </w:pPr>
            <w:r w:rsidRPr="00227C94">
              <w:t>10,335</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rPr>
                <w:b/>
              </w:rPr>
            </w:pPr>
            <w:r w:rsidRPr="00227C94">
              <w:rPr>
                <w:b/>
              </w:rPr>
              <w:t>-</w:t>
            </w:r>
          </w:p>
        </w:tc>
      </w:tr>
      <w:tr w:rsidR="00291505" w:rsidRPr="00227C94" w:rsidTr="00291505">
        <w:trPr>
          <w:cantSplit/>
        </w:trPr>
        <w:tc>
          <w:tcPr>
            <w:tcW w:w="4160" w:type="dxa"/>
            <w:shd w:val="clear" w:color="auto" w:fill="auto"/>
          </w:tcPr>
          <w:p w:rsidR="00916675" w:rsidRPr="00227C94" w:rsidRDefault="00916675" w:rsidP="00291505">
            <w:pPr>
              <w:pStyle w:val="tblText02"/>
            </w:pPr>
            <w:r w:rsidRPr="00227C94">
              <w:t>Disposals</w:t>
            </w:r>
          </w:p>
        </w:tc>
        <w:tc>
          <w:tcPr>
            <w:tcW w:w="1417" w:type="dxa"/>
            <w:shd w:val="clear" w:color="auto" w:fill="auto"/>
            <w:vAlign w:val="bottom"/>
          </w:tcPr>
          <w:p w:rsidR="00916675" w:rsidRPr="00227C94" w:rsidRDefault="00916675" w:rsidP="00291505">
            <w:pPr>
              <w:pStyle w:val="tblNumber01"/>
            </w:pPr>
            <w:r w:rsidRPr="00227C94">
              <w:t>9,575</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1"/>
            </w:pPr>
            <w:r w:rsidRPr="00227C94">
              <w:t>354</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rPr>
                <w:b/>
              </w:rPr>
            </w:pPr>
            <w:r w:rsidRPr="00227C94">
              <w:rPr>
                <w:b/>
              </w:rPr>
              <w:t>9,929</w:t>
            </w:r>
          </w:p>
        </w:tc>
      </w:tr>
      <w:tr w:rsidR="00291505" w:rsidRPr="00227C94" w:rsidTr="00A701F4">
        <w:trPr>
          <w:cantSplit/>
        </w:trPr>
        <w:tc>
          <w:tcPr>
            <w:tcW w:w="4160" w:type="dxa"/>
            <w:shd w:val="clear" w:color="auto" w:fill="auto"/>
          </w:tcPr>
          <w:p w:rsidR="00916675" w:rsidRPr="00227C94" w:rsidRDefault="00916675" w:rsidP="00291505">
            <w:pPr>
              <w:pStyle w:val="tblText02"/>
            </w:pPr>
            <w:r w:rsidRPr="00227C94">
              <w:t>Impairment</w:t>
            </w:r>
          </w:p>
        </w:tc>
        <w:tc>
          <w:tcPr>
            <w:tcW w:w="1417" w:type="dxa"/>
            <w:shd w:val="clear" w:color="auto" w:fill="auto"/>
            <w:vAlign w:val="bottom"/>
          </w:tcPr>
          <w:p w:rsidR="00916675" w:rsidRPr="00227C94" w:rsidRDefault="00916675" w:rsidP="00291505">
            <w:pPr>
              <w:pStyle w:val="tblNumber00"/>
            </w:pPr>
            <w:r w:rsidRPr="00227C94">
              <w:t>(15,857)</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rPr>
                <w:b/>
              </w:rPr>
            </w:pPr>
            <w:r w:rsidRPr="00227C94">
              <w:rPr>
                <w:b/>
              </w:rPr>
              <w:t>(15,857)</w:t>
            </w:r>
          </w:p>
        </w:tc>
      </w:tr>
      <w:tr w:rsidR="00291505" w:rsidRPr="00227C94" w:rsidTr="00A701F4">
        <w:trPr>
          <w:cantSplit/>
        </w:trPr>
        <w:tc>
          <w:tcPr>
            <w:tcW w:w="4160" w:type="dxa"/>
            <w:shd w:val="clear" w:color="auto" w:fill="auto"/>
          </w:tcPr>
          <w:p w:rsidR="00916675" w:rsidRPr="00227C94" w:rsidRDefault="00916675" w:rsidP="00291505">
            <w:pPr>
              <w:pStyle w:val="tblText02"/>
              <w:rPr>
                <w:lang w:val="en-US"/>
              </w:rPr>
            </w:pPr>
            <w:r w:rsidRPr="00227C94">
              <w:rPr>
                <w:lang w:val="en-US"/>
              </w:rPr>
              <w:t>Effect of translation to presentation currency</w:t>
            </w: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96,127</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bottom w:val="single" w:sz="6" w:space="0" w:color="auto"/>
            </w:tcBorders>
            <w:shd w:val="clear" w:color="auto" w:fill="auto"/>
            <w:vAlign w:val="bottom"/>
          </w:tcPr>
          <w:p w:rsidR="00916675" w:rsidRPr="00227C94" w:rsidRDefault="00916675" w:rsidP="00291505">
            <w:pPr>
              <w:pStyle w:val="tblNumber01"/>
            </w:pPr>
            <w:r w:rsidRPr="00227C94">
              <w:t>3,548</w:t>
            </w:r>
          </w:p>
        </w:tc>
        <w:tc>
          <w:tcPr>
            <w:tcW w:w="113" w:type="dxa"/>
            <w:shd w:val="clear" w:color="auto" w:fill="auto"/>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1,486</w:t>
            </w:r>
          </w:p>
        </w:tc>
        <w:tc>
          <w:tcPr>
            <w:tcW w:w="113" w:type="dxa"/>
            <w:shd w:val="clear" w:color="auto" w:fill="auto"/>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rPr>
                <w:b/>
              </w:rPr>
            </w:pPr>
            <w:r w:rsidRPr="00227C94">
              <w:rPr>
                <w:b/>
              </w:rPr>
              <w:t>101,161</w:t>
            </w:r>
          </w:p>
        </w:tc>
      </w:tr>
      <w:tr w:rsidR="00291505" w:rsidRPr="00227C94" w:rsidTr="00291505">
        <w:trPr>
          <w:cantSplit/>
        </w:trPr>
        <w:tc>
          <w:tcPr>
            <w:tcW w:w="4160" w:type="dxa"/>
            <w:shd w:val="clear" w:color="auto" w:fill="auto"/>
          </w:tcPr>
          <w:p w:rsidR="00916675" w:rsidRPr="00227C94" w:rsidRDefault="00916675" w:rsidP="00291505">
            <w:pPr>
              <w:pStyle w:val="tblText02"/>
              <w:rPr>
                <w:b/>
              </w:rPr>
            </w:pPr>
            <w:r w:rsidRPr="00227C94">
              <w:rPr>
                <w:b/>
              </w:rPr>
              <w:t>Balance at 31 December 2011</w:t>
            </w:r>
          </w:p>
        </w:tc>
        <w:tc>
          <w:tcPr>
            <w:tcW w:w="1417" w:type="dxa"/>
            <w:tcBorders>
              <w:top w:val="single" w:sz="6" w:space="0" w:color="auto"/>
            </w:tcBorders>
            <w:shd w:val="clear" w:color="auto" w:fill="auto"/>
            <w:vAlign w:val="bottom"/>
          </w:tcPr>
          <w:p w:rsidR="00916675" w:rsidRPr="00227C94" w:rsidRDefault="00916675" w:rsidP="00291505">
            <w:pPr>
              <w:pStyle w:val="tblNumber00"/>
              <w:rPr>
                <w:b/>
              </w:rPr>
            </w:pPr>
            <w:r w:rsidRPr="00227C94">
              <w:rPr>
                <w:b/>
              </w:rPr>
              <w:t>(807,617)</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top w:val="single" w:sz="6" w:space="0" w:color="auto"/>
              <w:left w:val="nil"/>
            </w:tcBorders>
            <w:shd w:val="clear" w:color="auto" w:fill="auto"/>
            <w:vAlign w:val="bottom"/>
          </w:tcPr>
          <w:p w:rsidR="00916675" w:rsidRPr="00227C94" w:rsidRDefault="00916675" w:rsidP="00291505">
            <w:pPr>
              <w:pStyle w:val="tblNumber00"/>
              <w:rPr>
                <w:b/>
              </w:rPr>
            </w:pPr>
            <w:r w:rsidRPr="00227C94">
              <w:rPr>
                <w:b/>
              </w:rPr>
              <w:t>(22,369)</w:t>
            </w:r>
          </w:p>
        </w:tc>
        <w:tc>
          <w:tcPr>
            <w:tcW w:w="113" w:type="dxa"/>
            <w:shd w:val="clear" w:color="auto" w:fill="auto"/>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0"/>
              <w:rPr>
                <w:b/>
              </w:rPr>
            </w:pPr>
            <w:r w:rsidRPr="00227C94">
              <w:rPr>
                <w:b/>
              </w:rPr>
              <w:t>(16,096)</w:t>
            </w:r>
          </w:p>
        </w:tc>
        <w:tc>
          <w:tcPr>
            <w:tcW w:w="113" w:type="dxa"/>
            <w:shd w:val="clear" w:color="auto" w:fill="auto"/>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0"/>
              <w:rPr>
                <w:b/>
              </w:rPr>
            </w:pPr>
            <w:r w:rsidRPr="00227C94">
              <w:rPr>
                <w:b/>
              </w:rPr>
              <w:t>(846,082)</w:t>
            </w:r>
          </w:p>
        </w:tc>
      </w:tr>
      <w:tr w:rsidR="00291505" w:rsidRPr="00227C94" w:rsidTr="00291505">
        <w:trPr>
          <w:cantSplit/>
        </w:trPr>
        <w:tc>
          <w:tcPr>
            <w:tcW w:w="4160" w:type="dxa"/>
            <w:shd w:val="clear" w:color="auto" w:fill="auto"/>
          </w:tcPr>
          <w:p w:rsidR="00916675" w:rsidRPr="00227C94" w:rsidRDefault="00916675" w:rsidP="00291505">
            <w:pPr>
              <w:pStyle w:val="tblText02"/>
            </w:pPr>
            <w:r w:rsidRPr="00227C94">
              <w:t>Charge for the period</w:t>
            </w:r>
          </w:p>
        </w:tc>
        <w:tc>
          <w:tcPr>
            <w:tcW w:w="1417" w:type="dxa"/>
            <w:shd w:val="clear" w:color="auto" w:fill="auto"/>
            <w:vAlign w:val="bottom"/>
          </w:tcPr>
          <w:p w:rsidR="00916675" w:rsidRPr="00227C94" w:rsidRDefault="00916675" w:rsidP="00291505">
            <w:pPr>
              <w:pStyle w:val="tblNumber00"/>
            </w:pPr>
            <w:r w:rsidRPr="00227C94">
              <w:t>(101,812)</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0"/>
            </w:pPr>
            <w:r w:rsidRPr="00227C94">
              <w:t>(2,625)</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rPr>
                <w:b/>
                <w:bCs/>
              </w:rPr>
            </w:pPr>
            <w:r w:rsidRPr="00227C94">
              <w:rPr>
                <w:b/>
              </w:rPr>
              <w:t>(104,437)</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pPr>
            <w:r w:rsidRPr="00227C94">
              <w:t>Disposals</w:t>
            </w:r>
          </w:p>
        </w:tc>
        <w:tc>
          <w:tcPr>
            <w:tcW w:w="1417" w:type="dxa"/>
            <w:shd w:val="clear" w:color="auto" w:fill="auto"/>
            <w:vAlign w:val="bottom"/>
          </w:tcPr>
          <w:p w:rsidR="00916675" w:rsidRPr="00227C94" w:rsidRDefault="00916675" w:rsidP="00291505">
            <w:pPr>
              <w:pStyle w:val="tblNumber01"/>
            </w:pPr>
            <w:r w:rsidRPr="00227C94">
              <w:t>7,029</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1"/>
            </w:pPr>
            <w:r w:rsidRPr="00227C94">
              <w:t>171</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rPr>
                <w:b/>
              </w:rPr>
            </w:pPr>
            <w:r w:rsidRPr="00227C94">
              <w:rPr>
                <w:b/>
              </w:rPr>
              <w:t>7,200</w:t>
            </w: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pPr>
            <w:r w:rsidRPr="00227C94">
              <w:t>Disposals of subsidiaries</w:t>
            </w:r>
          </w:p>
        </w:tc>
        <w:tc>
          <w:tcPr>
            <w:tcW w:w="1417" w:type="dxa"/>
            <w:shd w:val="clear" w:color="auto" w:fill="auto"/>
            <w:vAlign w:val="bottom"/>
          </w:tcPr>
          <w:p w:rsidR="00916675" w:rsidRPr="00227C94" w:rsidRDefault="00916675" w:rsidP="00291505">
            <w:pPr>
              <w:pStyle w:val="tblNumber01"/>
            </w:pPr>
            <w:r w:rsidRPr="00227C94">
              <w:t>3,808</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rPr>
                <w:b/>
              </w:rPr>
            </w:pPr>
            <w:r w:rsidRPr="00227C94">
              <w:rPr>
                <w:b/>
              </w:rPr>
              <w:t>3,808</w:t>
            </w:r>
          </w:p>
        </w:tc>
      </w:tr>
      <w:tr w:rsidR="00291505" w:rsidRPr="00227C94" w:rsidTr="00A701F4">
        <w:trPr>
          <w:cantSplit/>
        </w:trPr>
        <w:tc>
          <w:tcPr>
            <w:tcW w:w="4160" w:type="dxa"/>
            <w:shd w:val="clear" w:color="auto" w:fill="auto"/>
          </w:tcPr>
          <w:p w:rsidR="00916675" w:rsidRPr="00227C94" w:rsidRDefault="00916675" w:rsidP="00291505">
            <w:pPr>
              <w:pStyle w:val="tblText02"/>
            </w:pPr>
            <w:r w:rsidRPr="00227C94">
              <w:t>Impairment</w:t>
            </w:r>
          </w:p>
        </w:tc>
        <w:tc>
          <w:tcPr>
            <w:tcW w:w="1417" w:type="dxa"/>
            <w:shd w:val="clear" w:color="auto" w:fill="auto"/>
            <w:vAlign w:val="bottom"/>
          </w:tcPr>
          <w:p w:rsidR="00916675" w:rsidRPr="00227C94" w:rsidRDefault="00916675" w:rsidP="00291505">
            <w:pPr>
              <w:pStyle w:val="tblNumber00"/>
            </w:pPr>
            <w:r w:rsidRPr="00227C94">
              <w:t>(17,103)</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Dash"/>
            </w:pPr>
            <w:r w:rsidRPr="00227C94">
              <w:t>-</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pPr>
            <w:r w:rsidRPr="00227C94">
              <w:t>(213)</w:t>
            </w: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0"/>
              <w:rPr>
                <w:b/>
                <w:bCs/>
              </w:rPr>
            </w:pPr>
            <w:r w:rsidRPr="00227C94">
              <w:rPr>
                <w:b/>
              </w:rPr>
              <w:t>(17,316)</w:t>
            </w:r>
          </w:p>
        </w:tc>
      </w:tr>
      <w:tr w:rsidR="00291505" w:rsidRPr="00227C94" w:rsidTr="00A701F4">
        <w:trPr>
          <w:cantSplit/>
        </w:trPr>
        <w:tc>
          <w:tcPr>
            <w:tcW w:w="4160" w:type="dxa"/>
            <w:shd w:val="clear" w:color="auto" w:fill="auto"/>
          </w:tcPr>
          <w:p w:rsidR="00916675" w:rsidRPr="00227C94" w:rsidRDefault="00916675" w:rsidP="00291505">
            <w:pPr>
              <w:pStyle w:val="tblText02"/>
              <w:rPr>
                <w:lang w:val="en-US"/>
              </w:rPr>
            </w:pPr>
            <w:r w:rsidRPr="00227C94">
              <w:rPr>
                <w:lang w:val="en-US"/>
              </w:rPr>
              <w:t>Effect of translation to presentation currency</w:t>
            </w: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24,252</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bottom w:val="single" w:sz="6" w:space="0" w:color="auto"/>
            </w:tcBorders>
            <w:shd w:val="clear" w:color="auto" w:fill="auto"/>
            <w:vAlign w:val="bottom"/>
          </w:tcPr>
          <w:p w:rsidR="00916675" w:rsidRPr="00227C94" w:rsidRDefault="00916675" w:rsidP="00291505">
            <w:pPr>
              <w:pStyle w:val="tblNumber01"/>
            </w:pPr>
            <w:r w:rsidRPr="00227C94">
              <w:t>616</w:t>
            </w:r>
          </w:p>
        </w:tc>
        <w:tc>
          <w:tcPr>
            <w:tcW w:w="113" w:type="dxa"/>
            <w:shd w:val="clear" w:color="auto" w:fill="auto"/>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(113)</w:t>
            </w:r>
          </w:p>
        </w:tc>
        <w:tc>
          <w:tcPr>
            <w:tcW w:w="113" w:type="dxa"/>
            <w:shd w:val="clear" w:color="auto" w:fill="auto"/>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rPr>
                <w:b/>
              </w:rPr>
            </w:pPr>
            <w:r w:rsidRPr="00227C94">
              <w:rPr>
                <w:b/>
              </w:rPr>
              <w:t>24,755</w:t>
            </w:r>
          </w:p>
        </w:tc>
      </w:tr>
      <w:tr w:rsidR="00291505" w:rsidRPr="00227C94" w:rsidTr="00A701F4">
        <w:trPr>
          <w:cantSplit/>
        </w:trPr>
        <w:tc>
          <w:tcPr>
            <w:tcW w:w="4160" w:type="dxa"/>
            <w:shd w:val="clear" w:color="auto" w:fill="auto"/>
          </w:tcPr>
          <w:p w:rsidR="00916675" w:rsidRPr="00227C94" w:rsidRDefault="00916675" w:rsidP="00291505">
            <w:pPr>
              <w:pStyle w:val="tblText02"/>
              <w:rPr>
                <w:b/>
              </w:rPr>
            </w:pPr>
            <w:r w:rsidRPr="00227C94">
              <w:rPr>
                <w:b/>
              </w:rPr>
              <w:t>Balance at 30 June 2012</w:t>
            </w:r>
          </w:p>
        </w:tc>
        <w:tc>
          <w:tcPr>
            <w:tcW w:w="1417" w:type="dxa"/>
            <w:tcBorders>
              <w:top w:val="single" w:sz="6" w:space="0" w:color="auto"/>
              <w:bottom w:val="double" w:sz="6" w:space="0" w:color="auto"/>
            </w:tcBorders>
            <w:shd w:val="clear" w:color="auto" w:fill="auto"/>
            <w:vAlign w:val="bottom"/>
          </w:tcPr>
          <w:p w:rsidR="00916675" w:rsidRPr="00227C94" w:rsidRDefault="00916675" w:rsidP="00291505">
            <w:pPr>
              <w:pStyle w:val="tblNumber00"/>
              <w:rPr>
                <w:b/>
                <w:bCs/>
              </w:rPr>
            </w:pPr>
            <w:r w:rsidRPr="00227C94">
              <w:rPr>
                <w:b/>
              </w:rPr>
              <w:t>(891,443)</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top w:val="single" w:sz="6" w:space="0" w:color="auto"/>
              <w:left w:val="nil"/>
              <w:bottom w:val="double" w:sz="6" w:space="0" w:color="auto"/>
            </w:tcBorders>
            <w:shd w:val="clear" w:color="auto" w:fill="auto"/>
            <w:vAlign w:val="bottom"/>
          </w:tcPr>
          <w:p w:rsidR="00916675" w:rsidRPr="00227C94" w:rsidRDefault="00916675" w:rsidP="00291505">
            <w:pPr>
              <w:pStyle w:val="tblNumber00"/>
              <w:rPr>
                <w:b/>
                <w:bCs/>
              </w:rPr>
            </w:pPr>
            <w:r w:rsidRPr="00227C94">
              <w:rPr>
                <w:b/>
              </w:rPr>
              <w:t>(24,207)</w:t>
            </w:r>
          </w:p>
        </w:tc>
        <w:tc>
          <w:tcPr>
            <w:tcW w:w="113" w:type="dxa"/>
            <w:shd w:val="clear" w:color="auto" w:fill="auto"/>
            <w:vAlign w:val="bottom"/>
          </w:tcPr>
          <w:p w:rsidR="00916675" w:rsidRPr="00227C94" w:rsidRDefault="00916675" w:rsidP="00291505">
            <w:pPr>
              <w:pStyle w:val="tblNumber01"/>
            </w:pPr>
          </w:p>
        </w:tc>
        <w:tc>
          <w:tcPr>
            <w:tcW w:w="1417" w:type="dxa"/>
            <w:tcBorders>
              <w:top w:val="single" w:sz="6" w:space="0" w:color="auto"/>
              <w:bottom w:val="double" w:sz="6" w:space="0" w:color="auto"/>
            </w:tcBorders>
            <w:shd w:val="clear" w:color="auto" w:fill="auto"/>
            <w:vAlign w:val="bottom"/>
          </w:tcPr>
          <w:p w:rsidR="00916675" w:rsidRPr="00227C94" w:rsidRDefault="00916675" w:rsidP="00291505">
            <w:pPr>
              <w:pStyle w:val="tblNumber00"/>
              <w:rPr>
                <w:b/>
                <w:bCs/>
              </w:rPr>
            </w:pPr>
            <w:r w:rsidRPr="00227C94">
              <w:rPr>
                <w:b/>
              </w:rPr>
              <w:t>(16,422)</w:t>
            </w:r>
          </w:p>
        </w:tc>
        <w:tc>
          <w:tcPr>
            <w:tcW w:w="113" w:type="dxa"/>
            <w:shd w:val="clear" w:color="auto" w:fill="auto"/>
            <w:vAlign w:val="bottom"/>
          </w:tcPr>
          <w:p w:rsidR="00916675" w:rsidRPr="00227C94" w:rsidRDefault="00916675" w:rsidP="00291505">
            <w:pPr>
              <w:pStyle w:val="tblNumber01"/>
            </w:pPr>
          </w:p>
        </w:tc>
        <w:tc>
          <w:tcPr>
            <w:tcW w:w="1417" w:type="dxa"/>
            <w:tcBorders>
              <w:top w:val="single" w:sz="6" w:space="0" w:color="auto"/>
              <w:bottom w:val="double" w:sz="6" w:space="0" w:color="auto"/>
            </w:tcBorders>
            <w:shd w:val="clear" w:color="auto" w:fill="auto"/>
            <w:vAlign w:val="bottom"/>
          </w:tcPr>
          <w:p w:rsidR="00916675" w:rsidRPr="00227C94" w:rsidRDefault="00916675" w:rsidP="00291505">
            <w:pPr>
              <w:pStyle w:val="tblNumber00"/>
              <w:rPr>
                <w:b/>
                <w:bCs/>
              </w:rPr>
            </w:pPr>
            <w:r w:rsidRPr="00227C94">
              <w:rPr>
                <w:b/>
              </w:rPr>
              <w:t>(932,072)</w:t>
            </w:r>
          </w:p>
        </w:tc>
      </w:tr>
      <w:tr w:rsidR="00291505" w:rsidRPr="00227C94" w:rsidTr="00291505">
        <w:trPr>
          <w:cantSplit/>
          <w:trHeight w:hRule="exact" w:val="113"/>
        </w:trPr>
        <w:tc>
          <w:tcPr>
            <w:tcW w:w="4160" w:type="dxa"/>
            <w:shd w:val="clear" w:color="auto" w:fill="auto"/>
            <w:vAlign w:val="bottom"/>
          </w:tcPr>
          <w:p w:rsidR="00916675" w:rsidRPr="00227C94" w:rsidRDefault="00916675" w:rsidP="00291505">
            <w:pPr>
              <w:pStyle w:val="tblText02"/>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top w:val="double" w:sz="6" w:space="0" w:color="auto"/>
              <w:left w:val="nil"/>
            </w:tcBorders>
            <w:shd w:val="clear" w:color="auto" w:fill="auto"/>
            <w:vAlign w:val="bottom"/>
          </w:tcPr>
          <w:p w:rsidR="00916675" w:rsidRPr="00227C94" w:rsidRDefault="00916675" w:rsidP="00291505">
            <w:pPr>
              <w:pStyle w:val="tblNumber01"/>
            </w:pPr>
          </w:p>
        </w:tc>
        <w:tc>
          <w:tcPr>
            <w:tcW w:w="113" w:type="dxa"/>
            <w:shd w:val="clear" w:color="auto" w:fill="auto"/>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113" w:type="dxa"/>
            <w:shd w:val="clear" w:color="auto" w:fill="auto"/>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r>
      <w:tr w:rsidR="00291505" w:rsidRPr="00227C94" w:rsidTr="00A701F4">
        <w:trPr>
          <w:cantSplit/>
        </w:trPr>
        <w:tc>
          <w:tcPr>
            <w:tcW w:w="4160" w:type="dxa"/>
            <w:shd w:val="clear" w:color="auto" w:fill="auto"/>
            <w:vAlign w:val="bottom"/>
          </w:tcPr>
          <w:p w:rsidR="00916675" w:rsidRPr="00227C94" w:rsidRDefault="00916675" w:rsidP="00291505">
            <w:pPr>
              <w:pStyle w:val="tblText02"/>
              <w:rPr>
                <w:b/>
              </w:rPr>
            </w:pPr>
            <w:r w:rsidRPr="00227C94">
              <w:rPr>
                <w:b/>
              </w:rPr>
              <w:t>Net book value</w:t>
            </w:r>
          </w:p>
        </w:tc>
        <w:tc>
          <w:tcPr>
            <w:tcW w:w="1417" w:type="dxa"/>
            <w:shd w:val="clear" w:color="auto" w:fill="auto"/>
            <w:vAlign w:val="bottom"/>
          </w:tcPr>
          <w:p w:rsidR="00916675" w:rsidRPr="00227C94" w:rsidRDefault="00916675" w:rsidP="00291505">
            <w:pPr>
              <w:pStyle w:val="tblNumber01"/>
            </w:pP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1"/>
            </w:pP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p>
        </w:tc>
        <w:tc>
          <w:tcPr>
            <w:tcW w:w="113" w:type="dxa"/>
            <w:shd w:val="clear" w:color="auto" w:fill="auto"/>
            <w:vAlign w:val="bottom"/>
          </w:tcPr>
          <w:p w:rsidR="00916675" w:rsidRPr="00227C94" w:rsidRDefault="00916675" w:rsidP="00291505">
            <w:pPr>
              <w:pStyle w:val="tblNumber01"/>
            </w:pPr>
          </w:p>
        </w:tc>
        <w:tc>
          <w:tcPr>
            <w:tcW w:w="1417" w:type="dxa"/>
            <w:shd w:val="clear" w:color="auto" w:fill="auto"/>
            <w:vAlign w:val="bottom"/>
          </w:tcPr>
          <w:p w:rsidR="00916675" w:rsidRPr="00227C94" w:rsidRDefault="00916675" w:rsidP="00291505">
            <w:pPr>
              <w:pStyle w:val="tblNumber01"/>
            </w:pPr>
          </w:p>
        </w:tc>
      </w:tr>
      <w:tr w:rsidR="00291505" w:rsidRPr="00227C94" w:rsidTr="00A701F4">
        <w:trPr>
          <w:cantSplit/>
        </w:trPr>
        <w:tc>
          <w:tcPr>
            <w:tcW w:w="4160" w:type="dxa"/>
            <w:shd w:val="clear" w:color="auto" w:fill="auto"/>
            <w:vAlign w:val="bottom"/>
          </w:tcPr>
          <w:p w:rsidR="00916675" w:rsidRPr="00227C94" w:rsidRDefault="00916675" w:rsidP="00291505">
            <w:pPr>
              <w:pStyle w:val="tblText02"/>
              <w:rPr>
                <w:b/>
              </w:rPr>
            </w:pPr>
            <w:r w:rsidRPr="00227C94">
              <w:rPr>
                <w:b/>
              </w:rPr>
              <w:t>30 June 2011</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1,877,616</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bottom w:val="double" w:sz="6" w:space="0" w:color="auto"/>
            </w:tcBorders>
            <w:shd w:val="clear" w:color="auto" w:fill="auto"/>
            <w:vAlign w:val="bottom"/>
          </w:tcPr>
          <w:p w:rsidR="00916675" w:rsidRPr="00227C94" w:rsidRDefault="00916675" w:rsidP="00291505">
            <w:pPr>
              <w:pStyle w:val="tblNumber01"/>
              <w:rPr>
                <w:b/>
              </w:rPr>
            </w:pPr>
            <w:r w:rsidRPr="00227C94">
              <w:rPr>
                <w:b/>
              </w:rPr>
              <w:t>42,350</w:t>
            </w:r>
          </w:p>
        </w:tc>
        <w:tc>
          <w:tcPr>
            <w:tcW w:w="113" w:type="dxa"/>
            <w:shd w:val="clear" w:color="auto" w:fill="auto"/>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357,803</w:t>
            </w:r>
          </w:p>
        </w:tc>
        <w:tc>
          <w:tcPr>
            <w:tcW w:w="113" w:type="dxa"/>
            <w:shd w:val="clear" w:color="auto" w:fill="auto"/>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2,277,769</w:t>
            </w:r>
          </w:p>
        </w:tc>
      </w:tr>
      <w:tr w:rsidR="00291505" w:rsidRPr="00227C94" w:rsidTr="00A701F4">
        <w:trPr>
          <w:cantSplit/>
          <w:trHeight w:hRule="exact" w:val="113"/>
        </w:trPr>
        <w:tc>
          <w:tcPr>
            <w:tcW w:w="4160" w:type="dxa"/>
            <w:shd w:val="clear" w:color="auto" w:fill="auto"/>
            <w:vAlign w:val="bottom"/>
          </w:tcPr>
          <w:p w:rsidR="00916675" w:rsidRPr="00227C94" w:rsidRDefault="00916675" w:rsidP="00291505">
            <w:pPr>
              <w:pStyle w:val="tblText02"/>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top w:val="double" w:sz="6" w:space="0" w:color="auto"/>
              <w:left w:val="nil"/>
            </w:tcBorders>
            <w:shd w:val="clear" w:color="auto" w:fill="auto"/>
            <w:vAlign w:val="bottom"/>
          </w:tcPr>
          <w:p w:rsidR="00916675" w:rsidRPr="00227C94" w:rsidRDefault="00916675" w:rsidP="00291505">
            <w:pPr>
              <w:pStyle w:val="tblNumber01"/>
            </w:pPr>
          </w:p>
        </w:tc>
        <w:tc>
          <w:tcPr>
            <w:tcW w:w="113" w:type="dxa"/>
            <w:shd w:val="clear" w:color="auto" w:fill="auto"/>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113" w:type="dxa"/>
            <w:shd w:val="clear" w:color="auto" w:fill="auto"/>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r>
      <w:tr w:rsidR="00291505" w:rsidRPr="00227C94" w:rsidTr="00A701F4">
        <w:trPr>
          <w:cantSplit/>
        </w:trPr>
        <w:tc>
          <w:tcPr>
            <w:tcW w:w="4160" w:type="dxa"/>
            <w:shd w:val="clear" w:color="auto" w:fill="auto"/>
            <w:vAlign w:val="bottom"/>
          </w:tcPr>
          <w:p w:rsidR="00916675" w:rsidRPr="00227C94" w:rsidRDefault="00916675" w:rsidP="00291505">
            <w:pPr>
              <w:pStyle w:val="tblText02"/>
              <w:rPr>
                <w:b/>
              </w:rPr>
            </w:pPr>
            <w:r w:rsidRPr="00227C94">
              <w:rPr>
                <w:b/>
              </w:rPr>
              <w:t>31 December 2011</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1,651,929</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bottom w:val="double" w:sz="6" w:space="0" w:color="auto"/>
            </w:tcBorders>
            <w:shd w:val="clear" w:color="auto" w:fill="auto"/>
            <w:vAlign w:val="bottom"/>
          </w:tcPr>
          <w:p w:rsidR="00916675" w:rsidRPr="00227C94" w:rsidRDefault="00916675" w:rsidP="00291505">
            <w:pPr>
              <w:pStyle w:val="tblNumber01"/>
              <w:rPr>
                <w:b/>
              </w:rPr>
            </w:pPr>
            <w:r w:rsidRPr="00227C94">
              <w:rPr>
                <w:b/>
              </w:rPr>
              <w:t>32,820</w:t>
            </w:r>
          </w:p>
        </w:tc>
        <w:tc>
          <w:tcPr>
            <w:tcW w:w="113" w:type="dxa"/>
            <w:shd w:val="clear" w:color="auto" w:fill="auto"/>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371,668</w:t>
            </w:r>
          </w:p>
        </w:tc>
        <w:tc>
          <w:tcPr>
            <w:tcW w:w="113" w:type="dxa"/>
            <w:shd w:val="clear" w:color="auto" w:fill="auto"/>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2,056,417</w:t>
            </w:r>
          </w:p>
        </w:tc>
      </w:tr>
      <w:tr w:rsidR="00291505" w:rsidRPr="00227C94" w:rsidTr="00A701F4">
        <w:trPr>
          <w:cantSplit/>
          <w:trHeight w:hRule="exact" w:val="113"/>
        </w:trPr>
        <w:tc>
          <w:tcPr>
            <w:tcW w:w="4160" w:type="dxa"/>
            <w:shd w:val="clear" w:color="auto" w:fill="auto"/>
            <w:vAlign w:val="bottom"/>
          </w:tcPr>
          <w:p w:rsidR="00916675" w:rsidRPr="00227C94" w:rsidRDefault="00916675" w:rsidP="00291505">
            <w:pPr>
              <w:pStyle w:val="tblText02"/>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top w:val="double" w:sz="6" w:space="0" w:color="auto"/>
              <w:left w:val="nil"/>
            </w:tcBorders>
            <w:shd w:val="clear" w:color="auto" w:fill="auto"/>
            <w:vAlign w:val="bottom"/>
          </w:tcPr>
          <w:p w:rsidR="00916675" w:rsidRPr="00227C94" w:rsidRDefault="00916675" w:rsidP="00291505">
            <w:pPr>
              <w:pStyle w:val="tblNumber01"/>
            </w:pPr>
          </w:p>
        </w:tc>
        <w:tc>
          <w:tcPr>
            <w:tcW w:w="113" w:type="dxa"/>
            <w:shd w:val="clear" w:color="auto" w:fill="auto"/>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c>
          <w:tcPr>
            <w:tcW w:w="113" w:type="dxa"/>
            <w:shd w:val="clear" w:color="auto" w:fill="auto"/>
            <w:vAlign w:val="bottom"/>
          </w:tcPr>
          <w:p w:rsidR="00916675" w:rsidRPr="00227C94" w:rsidRDefault="00916675" w:rsidP="00291505">
            <w:pPr>
              <w:pStyle w:val="tblNumber01"/>
            </w:pPr>
          </w:p>
        </w:tc>
        <w:tc>
          <w:tcPr>
            <w:tcW w:w="1417" w:type="dxa"/>
            <w:tcBorders>
              <w:top w:val="double" w:sz="6" w:space="0" w:color="auto"/>
            </w:tcBorders>
            <w:shd w:val="clear" w:color="auto" w:fill="auto"/>
            <w:vAlign w:val="bottom"/>
          </w:tcPr>
          <w:p w:rsidR="00916675" w:rsidRPr="00227C94" w:rsidRDefault="00916675" w:rsidP="00291505">
            <w:pPr>
              <w:pStyle w:val="tblNumber01"/>
            </w:pPr>
          </w:p>
        </w:tc>
      </w:tr>
      <w:tr w:rsidR="00291505" w:rsidRPr="00227C94" w:rsidTr="00291505">
        <w:trPr>
          <w:cantSplit/>
        </w:trPr>
        <w:tc>
          <w:tcPr>
            <w:tcW w:w="4160" w:type="dxa"/>
            <w:shd w:val="clear" w:color="auto" w:fill="auto"/>
            <w:vAlign w:val="bottom"/>
          </w:tcPr>
          <w:p w:rsidR="00916675" w:rsidRPr="00227C94" w:rsidRDefault="00916675" w:rsidP="00291505">
            <w:pPr>
              <w:pStyle w:val="tblText02"/>
              <w:rPr>
                <w:b/>
              </w:rPr>
            </w:pPr>
            <w:r w:rsidRPr="00227C94">
              <w:rPr>
                <w:b/>
              </w:rPr>
              <w:t>30 June 2012</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1,612,742</w:t>
            </w:r>
          </w:p>
        </w:tc>
        <w:tc>
          <w:tcPr>
            <w:tcW w:w="113" w:type="dxa"/>
            <w:tcBorders>
              <w:right w:val="nil"/>
            </w:tcBorders>
            <w:shd w:val="clear" w:color="auto" w:fill="auto"/>
            <w:vAlign w:val="bottom"/>
          </w:tcPr>
          <w:p w:rsidR="00916675" w:rsidRPr="00227C94" w:rsidRDefault="00916675" w:rsidP="00291505">
            <w:pPr>
              <w:pStyle w:val="tblNumber01"/>
            </w:pPr>
          </w:p>
        </w:tc>
        <w:tc>
          <w:tcPr>
            <w:tcW w:w="1417" w:type="dxa"/>
            <w:tcBorders>
              <w:left w:val="nil"/>
              <w:bottom w:val="double" w:sz="6" w:space="0" w:color="auto"/>
            </w:tcBorders>
            <w:shd w:val="clear" w:color="auto" w:fill="auto"/>
            <w:vAlign w:val="bottom"/>
          </w:tcPr>
          <w:p w:rsidR="00916675" w:rsidRPr="00227C94" w:rsidRDefault="00916675" w:rsidP="00291505">
            <w:pPr>
              <w:pStyle w:val="tblNumber01"/>
              <w:rPr>
                <w:b/>
              </w:rPr>
            </w:pPr>
            <w:r w:rsidRPr="00227C94">
              <w:rPr>
                <w:b/>
              </w:rPr>
              <w:t>47,685</w:t>
            </w:r>
          </w:p>
        </w:tc>
        <w:tc>
          <w:tcPr>
            <w:tcW w:w="113" w:type="dxa"/>
            <w:shd w:val="clear" w:color="auto" w:fill="auto"/>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516,775</w:t>
            </w:r>
          </w:p>
        </w:tc>
        <w:tc>
          <w:tcPr>
            <w:tcW w:w="113" w:type="dxa"/>
            <w:shd w:val="clear" w:color="auto" w:fill="auto"/>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2,177,202</w:t>
            </w:r>
          </w:p>
        </w:tc>
      </w:tr>
    </w:tbl>
    <w:p w:rsidR="00916675" w:rsidRPr="00227C94" w:rsidRDefault="00916675" w:rsidP="00291505">
      <w:pPr>
        <w:pStyle w:val="23"/>
        <w:rPr>
          <w:color w:val="auto"/>
        </w:rPr>
      </w:pPr>
    </w:p>
    <w:p w:rsidR="00916675" w:rsidRPr="00227C94" w:rsidRDefault="00916675" w:rsidP="00291505">
      <w:pPr>
        <w:pStyle w:val="a4"/>
        <w:pageBreakBefore/>
        <w:tabs>
          <w:tab w:val="left" w:pos="476"/>
        </w:tabs>
        <w:rPr>
          <w:b/>
          <w:lang w:val="en-US"/>
        </w:rPr>
      </w:pPr>
      <w:r w:rsidRPr="00227C94">
        <w:rPr>
          <w:b/>
          <w:lang w:val="en-US"/>
        </w:rPr>
        <w:lastRenderedPageBreak/>
        <w:t>10.</w:t>
      </w:r>
      <w:r w:rsidRPr="00227C94">
        <w:rPr>
          <w:b/>
          <w:lang w:val="en-US"/>
        </w:rPr>
        <w:tab/>
        <w:t>PROPERTY, PLANT AND EQUIPMENT (continued)</w:t>
      </w:r>
    </w:p>
    <w:p w:rsidR="00916675" w:rsidRPr="00227C94" w:rsidRDefault="00916675" w:rsidP="00291505">
      <w:pPr>
        <w:pStyle w:val="23"/>
        <w:rPr>
          <w:color w:val="auto"/>
          <w:lang w:val="en-US"/>
        </w:rPr>
      </w:pPr>
    </w:p>
    <w:p w:rsidR="00916675" w:rsidRPr="00227C94" w:rsidRDefault="00916675" w:rsidP="00291505">
      <w:pPr>
        <w:pStyle w:val="23"/>
        <w:rPr>
          <w:color w:val="auto"/>
          <w:lang w:val="en-US"/>
        </w:rPr>
      </w:pPr>
      <w:r w:rsidRPr="00227C94">
        <w:rPr>
          <w:color w:val="auto"/>
          <w:lang w:val="en-US"/>
        </w:rPr>
        <w:t xml:space="preserve">During the six months ended 30 June 2012 impairment of mining assets in the amount of </w:t>
      </w:r>
      <w:r w:rsidR="00291505" w:rsidRPr="00227C94">
        <w:rPr>
          <w:color w:val="auto"/>
          <w:lang w:val="en-US"/>
        </w:rPr>
        <w:br/>
      </w:r>
      <w:r w:rsidRPr="00227C94">
        <w:rPr>
          <w:color w:val="auto"/>
          <w:lang w:val="en-US"/>
        </w:rPr>
        <w:t>USD 11,622 thousand and USD 1,058 thousand were recognised following the decision to abandon activities related to the Omchak deposit and other deposits in Irkutsk ore business unit respectively.</w:t>
      </w:r>
    </w:p>
    <w:p w:rsidR="00916675" w:rsidRPr="00227C94" w:rsidRDefault="00916675" w:rsidP="00291505">
      <w:pPr>
        <w:pStyle w:val="23"/>
        <w:rPr>
          <w:color w:val="auto"/>
          <w:lang w:val="en-US"/>
        </w:rPr>
      </w:pPr>
    </w:p>
    <w:p w:rsidR="00916675" w:rsidRPr="00227C94" w:rsidRDefault="00916675" w:rsidP="00291505">
      <w:pPr>
        <w:pStyle w:val="23"/>
        <w:rPr>
          <w:color w:val="auto"/>
          <w:lang w:val="en-US"/>
        </w:rPr>
      </w:pPr>
      <w:r w:rsidRPr="00227C94">
        <w:rPr>
          <w:color w:val="auto"/>
          <w:lang w:val="en-US"/>
        </w:rPr>
        <w:t>The remaining amount of impairment charge was a result of impairment at the Kazakhstan business unit, due to reassessment of property, plant and equipment requirements and plans for their future use. As the result, certain assets’ net book value and expected economic useful life exceeded the anticipated recoverable value.</w:t>
      </w:r>
    </w:p>
    <w:p w:rsidR="00916675" w:rsidRPr="00227C94" w:rsidRDefault="00916675" w:rsidP="00291505">
      <w:pPr>
        <w:pStyle w:val="23"/>
        <w:rPr>
          <w:color w:val="auto"/>
          <w:lang w:val="en-US"/>
        </w:rPr>
      </w:pPr>
    </w:p>
    <w:p w:rsidR="00916675" w:rsidRPr="00227C94" w:rsidRDefault="00916675" w:rsidP="00291505">
      <w:pPr>
        <w:pStyle w:val="23"/>
        <w:rPr>
          <w:color w:val="auto"/>
          <w:lang w:val="en-US"/>
        </w:rPr>
      </w:pPr>
      <w:r w:rsidRPr="00227C94">
        <w:rPr>
          <w:color w:val="auto"/>
          <w:lang w:val="en-US"/>
        </w:rPr>
        <w:t>The carrying values of mineral rights included in mining assets were as follows:</w:t>
      </w:r>
    </w:p>
    <w:p w:rsidR="00916675" w:rsidRPr="00227C94" w:rsidRDefault="00916675" w:rsidP="00291505">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291505">
            <w:pPr>
              <w:pStyle w:val="tblHeaderText"/>
              <w:jc w:val="left"/>
              <w:rPr>
                <w:lang w:val="en-US"/>
              </w:rPr>
            </w:pPr>
          </w:p>
        </w:tc>
        <w:tc>
          <w:tcPr>
            <w:tcW w:w="1417" w:type="dxa"/>
            <w:tcBorders>
              <w:bottom w:val="single" w:sz="6" w:space="0" w:color="auto"/>
            </w:tcBorders>
            <w:shd w:val="clear" w:color="auto" w:fill="auto"/>
            <w:vAlign w:val="bottom"/>
          </w:tcPr>
          <w:p w:rsidR="00916675" w:rsidRPr="00227C94" w:rsidRDefault="00916675" w:rsidP="00AF493A">
            <w:pPr>
              <w:pStyle w:val="tblHeaderText"/>
            </w:pPr>
            <w:r w:rsidRPr="00227C94">
              <w:t>30 June</w:t>
            </w:r>
          </w:p>
          <w:p w:rsidR="00916675" w:rsidRPr="00227C94" w:rsidRDefault="00916675" w:rsidP="00AF493A">
            <w:pPr>
              <w:pStyle w:val="tblHeaderText"/>
            </w:pPr>
            <w:r w:rsidRPr="00227C94">
              <w:t>2012</w:t>
            </w:r>
          </w:p>
        </w:tc>
        <w:tc>
          <w:tcPr>
            <w:tcW w:w="283" w:type="dxa"/>
            <w:tcBorders>
              <w:right w:val="nil"/>
            </w:tcBorders>
            <w:shd w:val="clear" w:color="auto" w:fill="auto"/>
            <w:vAlign w:val="bottom"/>
          </w:tcPr>
          <w:p w:rsidR="00916675" w:rsidRPr="00227C94" w:rsidRDefault="00916675" w:rsidP="00AF493A">
            <w:pPr>
              <w:pStyle w:val="tblHeaderText"/>
            </w:pPr>
          </w:p>
        </w:tc>
        <w:tc>
          <w:tcPr>
            <w:tcW w:w="1417" w:type="dxa"/>
            <w:tcBorders>
              <w:left w:val="nil"/>
              <w:bottom w:val="single" w:sz="6" w:space="0" w:color="auto"/>
            </w:tcBorders>
            <w:shd w:val="clear" w:color="auto" w:fill="auto"/>
            <w:vAlign w:val="bottom"/>
          </w:tcPr>
          <w:p w:rsidR="00916675" w:rsidRPr="00227C94" w:rsidRDefault="00916675" w:rsidP="00AF493A">
            <w:pPr>
              <w:pStyle w:val="tblHeaderText"/>
            </w:pPr>
            <w:r w:rsidRPr="00227C94">
              <w:t>30 June</w:t>
            </w:r>
          </w:p>
          <w:p w:rsidR="00916675" w:rsidRPr="00227C94" w:rsidRDefault="00916675" w:rsidP="00AF493A">
            <w:pPr>
              <w:pStyle w:val="tblHeaderText"/>
            </w:pPr>
            <w:r w:rsidRPr="00227C94">
              <w:t>2011</w:t>
            </w:r>
          </w:p>
        </w:tc>
        <w:tc>
          <w:tcPr>
            <w:tcW w:w="283" w:type="dxa"/>
            <w:tcBorders>
              <w:left w:val="nil"/>
            </w:tcBorders>
            <w:shd w:val="clear" w:color="auto" w:fill="auto"/>
            <w:vAlign w:val="bottom"/>
          </w:tcPr>
          <w:p w:rsidR="00916675" w:rsidRPr="00227C94" w:rsidRDefault="00916675" w:rsidP="00AF493A">
            <w:pPr>
              <w:pStyle w:val="tblHeaderText"/>
            </w:pPr>
          </w:p>
        </w:tc>
        <w:tc>
          <w:tcPr>
            <w:tcW w:w="1417" w:type="dxa"/>
            <w:tcBorders>
              <w:left w:val="nil"/>
              <w:bottom w:val="single" w:sz="6" w:space="0" w:color="auto"/>
            </w:tcBorders>
            <w:shd w:val="clear" w:color="auto" w:fill="auto"/>
            <w:vAlign w:val="bottom"/>
          </w:tcPr>
          <w:p w:rsidR="00916675" w:rsidRPr="00227C94" w:rsidRDefault="00916675" w:rsidP="00AF493A">
            <w:pPr>
              <w:pStyle w:val="tblHeaderText"/>
            </w:pPr>
            <w:r w:rsidRPr="00227C94">
              <w:t>31 December 2011</w:t>
            </w:r>
          </w:p>
        </w:tc>
      </w:tr>
      <w:tr w:rsidR="00916675" w:rsidRPr="00227C94" w:rsidTr="00291505">
        <w:trPr>
          <w:cantSplit/>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tcBorders>
              <w:right w:val="nil"/>
            </w:tcBorders>
            <w:vAlign w:val="bottom"/>
          </w:tcPr>
          <w:p w:rsidR="00916675" w:rsidRPr="00227C94" w:rsidRDefault="00916675" w:rsidP="00291505">
            <w:pPr>
              <w:pStyle w:val="tblNumber01"/>
            </w:pPr>
          </w:p>
        </w:tc>
        <w:tc>
          <w:tcPr>
            <w:tcW w:w="1417" w:type="dxa"/>
            <w:tcBorders>
              <w:top w:val="single" w:sz="6" w:space="0" w:color="auto"/>
              <w:left w:val="nil"/>
            </w:tcBorders>
            <w:shd w:val="clear" w:color="auto" w:fill="auto"/>
            <w:vAlign w:val="bottom"/>
          </w:tcPr>
          <w:p w:rsidR="00916675" w:rsidRPr="00227C94" w:rsidRDefault="00916675" w:rsidP="00291505">
            <w:pPr>
              <w:pStyle w:val="tblNumber01"/>
            </w:pPr>
          </w:p>
        </w:tc>
        <w:tc>
          <w:tcPr>
            <w:tcW w:w="283" w:type="dxa"/>
            <w:tcBorders>
              <w:left w:val="nil"/>
            </w:tcBorders>
            <w:vAlign w:val="bottom"/>
          </w:tcPr>
          <w:p w:rsidR="00916675" w:rsidRPr="00227C94" w:rsidRDefault="00916675" w:rsidP="00291505">
            <w:pPr>
              <w:pStyle w:val="tblNumber01"/>
            </w:pPr>
          </w:p>
        </w:tc>
        <w:tc>
          <w:tcPr>
            <w:tcW w:w="1417" w:type="dxa"/>
            <w:tcBorders>
              <w:top w:val="single" w:sz="6" w:space="0" w:color="auto"/>
              <w:left w:val="nil"/>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pPr>
            <w:r w:rsidRPr="00227C94">
              <w:t>Mineral rights</w:t>
            </w:r>
          </w:p>
        </w:tc>
        <w:tc>
          <w:tcPr>
            <w:tcW w:w="1417" w:type="dxa"/>
            <w:vAlign w:val="bottom"/>
          </w:tcPr>
          <w:p w:rsidR="00916675" w:rsidRPr="00227C94" w:rsidRDefault="00916675" w:rsidP="00291505">
            <w:pPr>
              <w:pStyle w:val="tblNumber01"/>
            </w:pPr>
            <w:r w:rsidRPr="00227C94">
              <w:t>326,096</w:t>
            </w:r>
          </w:p>
        </w:tc>
        <w:tc>
          <w:tcPr>
            <w:tcW w:w="283" w:type="dxa"/>
            <w:tcBorders>
              <w:right w:val="nil"/>
            </w:tcBorders>
            <w:vAlign w:val="bottom"/>
          </w:tcPr>
          <w:p w:rsidR="00916675" w:rsidRPr="00227C94" w:rsidRDefault="00916675" w:rsidP="00291505">
            <w:pPr>
              <w:pStyle w:val="tblNumber01"/>
            </w:pPr>
          </w:p>
        </w:tc>
        <w:tc>
          <w:tcPr>
            <w:tcW w:w="1417" w:type="dxa"/>
            <w:tcBorders>
              <w:left w:val="nil"/>
            </w:tcBorders>
            <w:vAlign w:val="bottom"/>
          </w:tcPr>
          <w:p w:rsidR="00916675" w:rsidRPr="00227C94" w:rsidRDefault="00916675" w:rsidP="00291505">
            <w:pPr>
              <w:pStyle w:val="tblNumber01"/>
            </w:pPr>
            <w:r w:rsidRPr="00227C94">
              <w:t>368,303</w:t>
            </w:r>
          </w:p>
        </w:tc>
        <w:tc>
          <w:tcPr>
            <w:tcW w:w="283" w:type="dxa"/>
            <w:tcBorders>
              <w:left w:val="nil"/>
            </w:tcBorders>
            <w:vAlign w:val="bottom"/>
          </w:tcPr>
          <w:p w:rsidR="00916675" w:rsidRPr="00227C94" w:rsidRDefault="00916675" w:rsidP="00291505">
            <w:pPr>
              <w:pStyle w:val="tblNumber01"/>
            </w:pPr>
          </w:p>
        </w:tc>
        <w:tc>
          <w:tcPr>
            <w:tcW w:w="1417" w:type="dxa"/>
            <w:tcBorders>
              <w:left w:val="nil"/>
            </w:tcBorders>
            <w:vAlign w:val="bottom"/>
          </w:tcPr>
          <w:p w:rsidR="00916675" w:rsidRPr="00227C94" w:rsidRDefault="00916675" w:rsidP="00291505">
            <w:pPr>
              <w:pStyle w:val="tblNumber01"/>
            </w:pPr>
            <w:r w:rsidRPr="00227C94">
              <w:t>335,470</w:t>
            </w:r>
          </w:p>
        </w:tc>
      </w:tr>
    </w:tbl>
    <w:p w:rsidR="00916675" w:rsidRPr="00227C94" w:rsidRDefault="00916675" w:rsidP="00291505">
      <w:pPr>
        <w:pStyle w:val="23"/>
        <w:rPr>
          <w:color w:val="auto"/>
        </w:rPr>
      </w:pPr>
    </w:p>
    <w:p w:rsidR="00916675" w:rsidRPr="00227C94" w:rsidRDefault="00916675" w:rsidP="00291505">
      <w:pPr>
        <w:pStyle w:val="23"/>
        <w:rPr>
          <w:color w:val="auto"/>
        </w:rPr>
      </w:pPr>
    </w:p>
    <w:p w:rsidR="00916675" w:rsidRPr="00227C94" w:rsidRDefault="00916675" w:rsidP="00291505">
      <w:pPr>
        <w:pStyle w:val="23"/>
        <w:rPr>
          <w:color w:val="auto"/>
          <w:lang w:val="en-US"/>
        </w:rPr>
      </w:pPr>
      <w:r w:rsidRPr="00227C94">
        <w:rPr>
          <w:color w:val="auto"/>
          <w:lang w:val="en-US"/>
        </w:rPr>
        <w:t>Amortisation and depreciation charge is allocated as follows:</w:t>
      </w:r>
    </w:p>
    <w:p w:rsidR="00916675" w:rsidRPr="00227C94" w:rsidRDefault="00916675" w:rsidP="00291505">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291505">
            <w:pPr>
              <w:pStyle w:val="tblHeaderText"/>
              <w:jc w:val="left"/>
              <w:rPr>
                <w:lang w:val="en-US"/>
              </w:rPr>
            </w:pPr>
          </w:p>
        </w:tc>
        <w:tc>
          <w:tcPr>
            <w:tcW w:w="1417" w:type="dxa"/>
            <w:tcBorders>
              <w:bottom w:val="single" w:sz="6" w:space="0" w:color="auto"/>
            </w:tcBorders>
            <w:shd w:val="clear" w:color="auto" w:fill="auto"/>
            <w:vAlign w:val="bottom"/>
          </w:tcPr>
          <w:p w:rsidR="00916675" w:rsidRPr="00227C94" w:rsidRDefault="00916675" w:rsidP="00AF493A">
            <w:pPr>
              <w:pStyle w:val="tblHeaderText"/>
            </w:pPr>
            <w:r w:rsidRPr="00227C94">
              <w:t xml:space="preserve">Six months ended </w:t>
            </w:r>
            <w:r w:rsidR="00AF493A" w:rsidRPr="00227C94">
              <w:rPr>
                <w:lang w:val="en-US"/>
              </w:rPr>
              <w:br/>
            </w:r>
            <w:r w:rsidRPr="00227C94">
              <w:t>30 June 2012</w:t>
            </w:r>
          </w:p>
        </w:tc>
        <w:tc>
          <w:tcPr>
            <w:tcW w:w="283" w:type="dxa"/>
            <w:shd w:val="clear" w:color="auto" w:fill="auto"/>
            <w:vAlign w:val="bottom"/>
          </w:tcPr>
          <w:p w:rsidR="00916675" w:rsidRPr="00227C94" w:rsidRDefault="00916675" w:rsidP="00AF493A">
            <w:pPr>
              <w:pStyle w:val="tblHeaderText"/>
            </w:pPr>
          </w:p>
        </w:tc>
        <w:tc>
          <w:tcPr>
            <w:tcW w:w="1417" w:type="dxa"/>
            <w:tcBorders>
              <w:bottom w:val="single" w:sz="6" w:space="0" w:color="auto"/>
            </w:tcBorders>
            <w:shd w:val="clear" w:color="auto" w:fill="auto"/>
            <w:vAlign w:val="bottom"/>
          </w:tcPr>
          <w:p w:rsidR="00916675" w:rsidRPr="00227C94" w:rsidRDefault="00916675" w:rsidP="00AF493A">
            <w:pPr>
              <w:pStyle w:val="tblHeaderText"/>
            </w:pPr>
            <w:r w:rsidRPr="00227C94">
              <w:t xml:space="preserve">Six months ended </w:t>
            </w:r>
            <w:r w:rsidR="00AF493A" w:rsidRPr="00227C94">
              <w:rPr>
                <w:lang w:val="en-US"/>
              </w:rPr>
              <w:br/>
            </w:r>
            <w:r w:rsidRPr="00227C94">
              <w:t>30 June 2011</w:t>
            </w:r>
          </w:p>
        </w:tc>
        <w:tc>
          <w:tcPr>
            <w:tcW w:w="283" w:type="dxa"/>
            <w:shd w:val="clear" w:color="auto" w:fill="auto"/>
            <w:vAlign w:val="bottom"/>
          </w:tcPr>
          <w:p w:rsidR="00916675" w:rsidRPr="00227C94" w:rsidRDefault="00916675" w:rsidP="00AF493A">
            <w:pPr>
              <w:pStyle w:val="tblHeaderText"/>
            </w:pPr>
          </w:p>
        </w:tc>
        <w:tc>
          <w:tcPr>
            <w:tcW w:w="1417" w:type="dxa"/>
            <w:tcBorders>
              <w:bottom w:val="single" w:sz="6" w:space="0" w:color="auto"/>
            </w:tcBorders>
            <w:shd w:val="clear" w:color="auto" w:fill="auto"/>
            <w:vAlign w:val="bottom"/>
          </w:tcPr>
          <w:p w:rsidR="00916675" w:rsidRPr="00227C94" w:rsidRDefault="00916675" w:rsidP="00AF493A">
            <w:pPr>
              <w:pStyle w:val="tblHeaderText"/>
            </w:pPr>
            <w:r w:rsidRPr="00227C94">
              <w:t>Year ended</w:t>
            </w:r>
          </w:p>
          <w:p w:rsidR="00916675" w:rsidRPr="00227C94" w:rsidRDefault="00916675" w:rsidP="00AF493A">
            <w:pPr>
              <w:pStyle w:val="tblHeaderText"/>
            </w:pPr>
            <w:r w:rsidRPr="00227C94">
              <w:t>31 December 2011</w:t>
            </w:r>
          </w:p>
        </w:tc>
      </w:tr>
      <w:tr w:rsidR="00916675" w:rsidRPr="00227C94" w:rsidTr="00291505">
        <w:trPr>
          <w:cantSplit/>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lang w:val="en-US"/>
              </w:rPr>
            </w:pPr>
            <w:r w:rsidRPr="00227C94">
              <w:rPr>
                <w:lang w:val="en-US"/>
              </w:rPr>
              <w:t>Cost of gold sales (note 6)</w:t>
            </w:r>
          </w:p>
        </w:tc>
        <w:tc>
          <w:tcPr>
            <w:tcW w:w="1417" w:type="dxa"/>
            <w:vAlign w:val="bottom"/>
          </w:tcPr>
          <w:p w:rsidR="00916675" w:rsidRPr="00227C94" w:rsidRDefault="00916675" w:rsidP="00291505">
            <w:pPr>
              <w:pStyle w:val="tblNumber01"/>
            </w:pPr>
            <w:r w:rsidRPr="00227C94">
              <w:t>84,137</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89,847</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181,935</w:t>
            </w:r>
          </w:p>
        </w:tc>
      </w:tr>
      <w:tr w:rsidR="00916675" w:rsidRPr="00227C94" w:rsidTr="00A701F4">
        <w:trPr>
          <w:cantSplit/>
        </w:trPr>
        <w:tc>
          <w:tcPr>
            <w:tcW w:w="4118" w:type="dxa"/>
          </w:tcPr>
          <w:p w:rsidR="00916675" w:rsidRPr="00227C94" w:rsidRDefault="00916675" w:rsidP="00291505">
            <w:pPr>
              <w:pStyle w:val="tblText02"/>
              <w:rPr>
                <w:lang w:val="en-US"/>
              </w:rPr>
            </w:pPr>
            <w:r w:rsidRPr="00227C94">
              <w:rPr>
                <w:lang w:val="en-US"/>
              </w:rPr>
              <w:t>Selling, general and administrative expenses and cost of other sales</w:t>
            </w:r>
          </w:p>
        </w:tc>
        <w:tc>
          <w:tcPr>
            <w:tcW w:w="1417" w:type="dxa"/>
            <w:vAlign w:val="bottom"/>
          </w:tcPr>
          <w:p w:rsidR="00916675" w:rsidRPr="00227C94" w:rsidRDefault="00916675" w:rsidP="00291505">
            <w:pPr>
              <w:pStyle w:val="tblNumber01"/>
            </w:pPr>
            <w:r w:rsidRPr="00227C94">
              <w:t>3,142</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3,798</w:t>
            </w:r>
          </w:p>
        </w:tc>
        <w:tc>
          <w:tcPr>
            <w:tcW w:w="283" w:type="dxa"/>
            <w:vAlign w:val="bottom"/>
          </w:tcPr>
          <w:p w:rsidR="00916675" w:rsidRPr="00227C94" w:rsidRDefault="00916675" w:rsidP="00291505">
            <w:pPr>
              <w:pStyle w:val="tblNumber01"/>
            </w:pPr>
          </w:p>
        </w:tc>
        <w:tc>
          <w:tcPr>
            <w:tcW w:w="1417" w:type="dxa"/>
            <w:vAlign w:val="bottom"/>
          </w:tcPr>
          <w:p w:rsidR="00916675" w:rsidRPr="00227C94" w:rsidRDefault="00916675" w:rsidP="00291505">
            <w:pPr>
              <w:pStyle w:val="tblNumber01"/>
            </w:pPr>
            <w:r w:rsidRPr="00227C94">
              <w:t>6,014</w:t>
            </w:r>
          </w:p>
        </w:tc>
      </w:tr>
      <w:tr w:rsidR="00916675" w:rsidRPr="00227C94" w:rsidTr="00A701F4">
        <w:trPr>
          <w:cantSplit/>
        </w:trPr>
        <w:tc>
          <w:tcPr>
            <w:tcW w:w="4118" w:type="dxa"/>
          </w:tcPr>
          <w:p w:rsidR="00916675" w:rsidRPr="00227C94" w:rsidRDefault="00916675" w:rsidP="00291505">
            <w:pPr>
              <w:pStyle w:val="tblText02"/>
              <w:rPr>
                <w:lang w:val="en-US"/>
              </w:rPr>
            </w:pPr>
            <w:r w:rsidRPr="00227C94">
              <w:rPr>
                <w:lang w:val="en-US"/>
              </w:rPr>
              <w:t>Capitalised within property, plant and equipment</w:t>
            </w: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17,158</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11,591</w:t>
            </w:r>
          </w:p>
        </w:tc>
        <w:tc>
          <w:tcPr>
            <w:tcW w:w="283" w:type="dxa"/>
            <w:vAlign w:val="bottom"/>
          </w:tcPr>
          <w:p w:rsidR="00916675" w:rsidRPr="00227C94" w:rsidRDefault="00916675" w:rsidP="00291505">
            <w:pPr>
              <w:pStyle w:val="tblNumber01"/>
            </w:pPr>
          </w:p>
        </w:tc>
        <w:tc>
          <w:tcPr>
            <w:tcW w:w="1417" w:type="dxa"/>
            <w:tcBorders>
              <w:bottom w:val="single" w:sz="6" w:space="0" w:color="auto"/>
            </w:tcBorders>
            <w:shd w:val="clear" w:color="auto" w:fill="auto"/>
            <w:vAlign w:val="bottom"/>
          </w:tcPr>
          <w:p w:rsidR="00916675" w:rsidRPr="00227C94" w:rsidRDefault="00916675" w:rsidP="00291505">
            <w:pPr>
              <w:pStyle w:val="tblNumber01"/>
            </w:pPr>
            <w:r w:rsidRPr="00227C94">
              <w:t>17,790</w:t>
            </w:r>
          </w:p>
        </w:tc>
      </w:tr>
      <w:tr w:rsidR="00916675" w:rsidRPr="00227C94" w:rsidTr="00A701F4">
        <w:trPr>
          <w:cantSplit/>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rPr>
            </w:pPr>
            <w:r w:rsidRPr="00227C94">
              <w:rPr>
                <w:b/>
              </w:rPr>
              <w:t>Total</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104,437</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105,236</w:t>
            </w:r>
          </w:p>
        </w:tc>
        <w:tc>
          <w:tcPr>
            <w:tcW w:w="283" w:type="dxa"/>
            <w:vAlign w:val="bottom"/>
          </w:tcPr>
          <w:p w:rsidR="00916675" w:rsidRPr="00227C94" w:rsidRDefault="00916675" w:rsidP="00291505">
            <w:pPr>
              <w:pStyle w:val="tblNumber01"/>
            </w:pP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205,739</w:t>
            </w:r>
          </w:p>
        </w:tc>
      </w:tr>
    </w:tbl>
    <w:p w:rsidR="00916675" w:rsidRPr="00227C94" w:rsidRDefault="00916675" w:rsidP="00291505">
      <w:pPr>
        <w:pStyle w:val="23"/>
        <w:rPr>
          <w:color w:val="auto"/>
        </w:rPr>
      </w:pPr>
    </w:p>
    <w:p w:rsidR="00916675" w:rsidRPr="00227C94" w:rsidRDefault="00916675" w:rsidP="00291505">
      <w:pPr>
        <w:pStyle w:val="23"/>
        <w:rPr>
          <w:color w:val="auto"/>
        </w:rPr>
      </w:pPr>
    </w:p>
    <w:p w:rsidR="00916675" w:rsidRPr="00227C94" w:rsidRDefault="00916675" w:rsidP="00291505">
      <w:pPr>
        <w:pStyle w:val="23"/>
        <w:rPr>
          <w:color w:val="auto"/>
          <w:lang w:val="en-US"/>
        </w:rPr>
      </w:pPr>
      <w:r w:rsidRPr="00227C94">
        <w:rPr>
          <w:color w:val="auto"/>
          <w:lang w:val="en-US"/>
        </w:rPr>
        <w:t>The carrying values of property, plant and equipment pledged against a bank guarantee liability were as follows:</w:t>
      </w:r>
    </w:p>
    <w:p w:rsidR="00916675" w:rsidRPr="00227C94" w:rsidRDefault="00916675" w:rsidP="00291505">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291505">
            <w:pPr>
              <w:pStyle w:val="tblHeaderText"/>
              <w:jc w:val="left"/>
              <w:rPr>
                <w:lang w:val="en-US"/>
              </w:rPr>
            </w:pPr>
          </w:p>
        </w:tc>
        <w:tc>
          <w:tcPr>
            <w:tcW w:w="1417" w:type="dxa"/>
            <w:tcBorders>
              <w:bottom w:val="single" w:sz="6" w:space="0" w:color="auto"/>
            </w:tcBorders>
            <w:shd w:val="clear" w:color="auto" w:fill="auto"/>
            <w:vAlign w:val="bottom"/>
          </w:tcPr>
          <w:p w:rsidR="00916675" w:rsidRPr="00227C94" w:rsidRDefault="00916675" w:rsidP="00AF493A">
            <w:pPr>
              <w:pStyle w:val="tblHeaderText"/>
            </w:pPr>
            <w:r w:rsidRPr="00227C94">
              <w:t>30 June</w:t>
            </w:r>
          </w:p>
          <w:p w:rsidR="00916675" w:rsidRPr="00227C94" w:rsidRDefault="00916675" w:rsidP="00AF493A">
            <w:pPr>
              <w:pStyle w:val="tblHeaderText"/>
            </w:pPr>
            <w:r w:rsidRPr="00227C94">
              <w:t>2012</w:t>
            </w:r>
          </w:p>
        </w:tc>
        <w:tc>
          <w:tcPr>
            <w:tcW w:w="283" w:type="dxa"/>
            <w:tcBorders>
              <w:right w:val="nil"/>
            </w:tcBorders>
            <w:shd w:val="clear" w:color="auto" w:fill="auto"/>
            <w:vAlign w:val="bottom"/>
          </w:tcPr>
          <w:p w:rsidR="00916675" w:rsidRPr="00227C94" w:rsidRDefault="00916675" w:rsidP="00AF493A">
            <w:pPr>
              <w:pStyle w:val="tblHeaderText"/>
            </w:pPr>
          </w:p>
        </w:tc>
        <w:tc>
          <w:tcPr>
            <w:tcW w:w="1417" w:type="dxa"/>
            <w:tcBorders>
              <w:left w:val="nil"/>
              <w:bottom w:val="single" w:sz="6" w:space="0" w:color="auto"/>
            </w:tcBorders>
            <w:shd w:val="clear" w:color="auto" w:fill="auto"/>
            <w:vAlign w:val="bottom"/>
          </w:tcPr>
          <w:p w:rsidR="00916675" w:rsidRPr="00227C94" w:rsidRDefault="00916675" w:rsidP="00AF493A">
            <w:pPr>
              <w:pStyle w:val="tblHeaderText"/>
            </w:pPr>
            <w:r w:rsidRPr="00227C94">
              <w:t>30 June</w:t>
            </w:r>
          </w:p>
          <w:p w:rsidR="00916675" w:rsidRPr="00227C94" w:rsidRDefault="00916675" w:rsidP="00AF493A">
            <w:pPr>
              <w:pStyle w:val="tblHeaderText"/>
            </w:pPr>
            <w:r w:rsidRPr="00227C94">
              <w:t>2011</w:t>
            </w:r>
          </w:p>
        </w:tc>
        <w:tc>
          <w:tcPr>
            <w:tcW w:w="283" w:type="dxa"/>
            <w:tcBorders>
              <w:left w:val="nil"/>
            </w:tcBorders>
            <w:shd w:val="clear" w:color="auto" w:fill="auto"/>
            <w:vAlign w:val="bottom"/>
          </w:tcPr>
          <w:p w:rsidR="00916675" w:rsidRPr="00227C94" w:rsidRDefault="00916675" w:rsidP="00AF493A">
            <w:pPr>
              <w:pStyle w:val="tblHeaderText"/>
            </w:pPr>
          </w:p>
        </w:tc>
        <w:tc>
          <w:tcPr>
            <w:tcW w:w="1417" w:type="dxa"/>
            <w:tcBorders>
              <w:left w:val="nil"/>
              <w:bottom w:val="single" w:sz="6" w:space="0" w:color="auto"/>
            </w:tcBorders>
            <w:shd w:val="clear" w:color="auto" w:fill="auto"/>
            <w:vAlign w:val="bottom"/>
          </w:tcPr>
          <w:p w:rsidR="00916675" w:rsidRPr="00227C94" w:rsidRDefault="00916675" w:rsidP="00AF493A">
            <w:pPr>
              <w:pStyle w:val="tblHeaderText"/>
            </w:pPr>
            <w:r w:rsidRPr="00227C94">
              <w:t>31 December 2011</w:t>
            </w:r>
          </w:p>
        </w:tc>
      </w:tr>
      <w:tr w:rsidR="00916675" w:rsidRPr="00227C94" w:rsidTr="00291505">
        <w:trPr>
          <w:cantSplit/>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tcBorders>
              <w:right w:val="nil"/>
            </w:tcBorders>
            <w:vAlign w:val="bottom"/>
          </w:tcPr>
          <w:p w:rsidR="00916675" w:rsidRPr="00227C94" w:rsidRDefault="00916675" w:rsidP="00291505">
            <w:pPr>
              <w:pStyle w:val="tblNumber01"/>
            </w:pPr>
          </w:p>
        </w:tc>
        <w:tc>
          <w:tcPr>
            <w:tcW w:w="1417" w:type="dxa"/>
            <w:tcBorders>
              <w:top w:val="single" w:sz="6" w:space="0" w:color="auto"/>
              <w:left w:val="nil"/>
            </w:tcBorders>
            <w:shd w:val="clear" w:color="auto" w:fill="auto"/>
            <w:vAlign w:val="bottom"/>
          </w:tcPr>
          <w:p w:rsidR="00916675" w:rsidRPr="00227C94" w:rsidRDefault="00916675" w:rsidP="00291505">
            <w:pPr>
              <w:pStyle w:val="tblNumber01"/>
            </w:pPr>
          </w:p>
        </w:tc>
        <w:tc>
          <w:tcPr>
            <w:tcW w:w="283" w:type="dxa"/>
            <w:tcBorders>
              <w:left w:val="nil"/>
            </w:tcBorders>
            <w:vAlign w:val="bottom"/>
          </w:tcPr>
          <w:p w:rsidR="00916675" w:rsidRPr="00227C94" w:rsidRDefault="00916675" w:rsidP="00291505">
            <w:pPr>
              <w:pStyle w:val="tblNumber01"/>
            </w:pPr>
          </w:p>
        </w:tc>
        <w:tc>
          <w:tcPr>
            <w:tcW w:w="1417" w:type="dxa"/>
            <w:tcBorders>
              <w:top w:val="single" w:sz="6" w:space="0" w:color="auto"/>
              <w:left w:val="nil"/>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lang w:val="en-US"/>
              </w:rPr>
            </w:pPr>
            <w:r w:rsidRPr="00227C94">
              <w:rPr>
                <w:lang w:val="en-US"/>
              </w:rPr>
              <w:t>Pledged property, plant and equipment</w:t>
            </w:r>
          </w:p>
        </w:tc>
        <w:tc>
          <w:tcPr>
            <w:tcW w:w="1417" w:type="dxa"/>
            <w:vAlign w:val="bottom"/>
          </w:tcPr>
          <w:p w:rsidR="00916675" w:rsidRPr="00227C94" w:rsidRDefault="00916675" w:rsidP="00291505">
            <w:pPr>
              <w:pStyle w:val="tblNumberDash"/>
            </w:pPr>
            <w:r w:rsidRPr="00227C94">
              <w:t>-</w:t>
            </w:r>
          </w:p>
        </w:tc>
        <w:tc>
          <w:tcPr>
            <w:tcW w:w="283" w:type="dxa"/>
            <w:tcBorders>
              <w:right w:val="nil"/>
            </w:tcBorders>
            <w:vAlign w:val="bottom"/>
          </w:tcPr>
          <w:p w:rsidR="00916675" w:rsidRPr="00227C94" w:rsidRDefault="00916675" w:rsidP="00291505">
            <w:pPr>
              <w:pStyle w:val="tblNumber01"/>
            </w:pPr>
          </w:p>
        </w:tc>
        <w:tc>
          <w:tcPr>
            <w:tcW w:w="1417" w:type="dxa"/>
            <w:tcBorders>
              <w:left w:val="nil"/>
            </w:tcBorders>
            <w:vAlign w:val="bottom"/>
          </w:tcPr>
          <w:p w:rsidR="00916675" w:rsidRPr="00227C94" w:rsidRDefault="00916675" w:rsidP="00291505">
            <w:pPr>
              <w:pStyle w:val="tblNumber01"/>
            </w:pPr>
            <w:r w:rsidRPr="00227C94">
              <w:t>3,620</w:t>
            </w:r>
          </w:p>
        </w:tc>
        <w:tc>
          <w:tcPr>
            <w:tcW w:w="283" w:type="dxa"/>
            <w:tcBorders>
              <w:left w:val="nil"/>
            </w:tcBorders>
            <w:vAlign w:val="bottom"/>
          </w:tcPr>
          <w:p w:rsidR="00916675" w:rsidRPr="00227C94" w:rsidRDefault="00916675" w:rsidP="00291505">
            <w:pPr>
              <w:pStyle w:val="tblNumber01"/>
            </w:pPr>
          </w:p>
        </w:tc>
        <w:tc>
          <w:tcPr>
            <w:tcW w:w="1417" w:type="dxa"/>
            <w:tcBorders>
              <w:left w:val="nil"/>
            </w:tcBorders>
            <w:vAlign w:val="bottom"/>
          </w:tcPr>
          <w:p w:rsidR="00916675" w:rsidRPr="00227C94" w:rsidRDefault="00916675" w:rsidP="00291505">
            <w:pPr>
              <w:pStyle w:val="tblNumber01"/>
            </w:pPr>
            <w:r w:rsidRPr="00227C94">
              <w:t>4,613</w:t>
            </w:r>
          </w:p>
        </w:tc>
      </w:tr>
    </w:tbl>
    <w:p w:rsidR="00916675" w:rsidRPr="00227C94" w:rsidRDefault="00916675" w:rsidP="00291505">
      <w:pPr>
        <w:pStyle w:val="23"/>
        <w:rPr>
          <w:color w:val="auto"/>
        </w:rPr>
      </w:pPr>
    </w:p>
    <w:p w:rsidR="00916675" w:rsidRPr="00227C94" w:rsidRDefault="00916675" w:rsidP="00291505">
      <w:pPr>
        <w:pStyle w:val="23"/>
        <w:rPr>
          <w:color w:val="auto"/>
        </w:rPr>
      </w:pPr>
    </w:p>
    <w:p w:rsidR="00916675" w:rsidRPr="00227C94" w:rsidRDefault="00916675" w:rsidP="00916675">
      <w:pPr>
        <w:pStyle w:val="1"/>
        <w:rPr>
          <w:lang w:val="en-US"/>
        </w:rPr>
      </w:pPr>
      <w:r w:rsidRPr="00227C94">
        <w:rPr>
          <w:lang w:val="en-US"/>
        </w:rPr>
        <w:t>exploration and evaluation assets</w:t>
      </w:r>
    </w:p>
    <w:p w:rsidR="00916675" w:rsidRPr="00227C94" w:rsidRDefault="00916675" w:rsidP="00291505">
      <w:pPr>
        <w:pStyle w:val="23"/>
        <w:rPr>
          <w:color w:val="auto"/>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291505">
            <w:pPr>
              <w:pStyle w:val="tblHeaderText"/>
              <w:jc w:val="left"/>
            </w:pPr>
          </w:p>
        </w:tc>
        <w:tc>
          <w:tcPr>
            <w:tcW w:w="1417" w:type="dxa"/>
            <w:tcBorders>
              <w:bottom w:val="single" w:sz="6" w:space="0" w:color="auto"/>
            </w:tcBorders>
            <w:shd w:val="clear" w:color="auto" w:fill="auto"/>
            <w:vAlign w:val="bottom"/>
          </w:tcPr>
          <w:p w:rsidR="00916675" w:rsidRPr="00227C94" w:rsidRDefault="00916675" w:rsidP="00AF493A">
            <w:pPr>
              <w:pStyle w:val="tblHeaderText"/>
            </w:pPr>
            <w:r w:rsidRPr="00227C94">
              <w:t>Six months ended</w:t>
            </w:r>
          </w:p>
          <w:p w:rsidR="00916675" w:rsidRPr="00227C94" w:rsidRDefault="00916675" w:rsidP="00AF493A">
            <w:pPr>
              <w:pStyle w:val="tblHeaderText"/>
            </w:pPr>
            <w:r w:rsidRPr="00227C94">
              <w:t>30 June</w:t>
            </w:r>
            <w:r w:rsidR="00AF493A" w:rsidRPr="00227C94">
              <w:rPr>
                <w:lang w:val="en-US"/>
              </w:rPr>
              <w:t xml:space="preserve"> </w:t>
            </w:r>
            <w:r w:rsidRPr="00227C94">
              <w:t>2012</w:t>
            </w:r>
          </w:p>
        </w:tc>
        <w:tc>
          <w:tcPr>
            <w:tcW w:w="283" w:type="dxa"/>
            <w:shd w:val="clear" w:color="auto" w:fill="auto"/>
            <w:vAlign w:val="bottom"/>
          </w:tcPr>
          <w:p w:rsidR="00916675" w:rsidRPr="00227C94" w:rsidRDefault="00916675" w:rsidP="00AF493A">
            <w:pPr>
              <w:pStyle w:val="tblHeaderText"/>
            </w:pPr>
          </w:p>
        </w:tc>
        <w:tc>
          <w:tcPr>
            <w:tcW w:w="1417" w:type="dxa"/>
            <w:tcBorders>
              <w:bottom w:val="single" w:sz="6" w:space="0" w:color="auto"/>
              <w:right w:val="nil"/>
            </w:tcBorders>
            <w:shd w:val="clear" w:color="auto" w:fill="auto"/>
            <w:vAlign w:val="bottom"/>
          </w:tcPr>
          <w:p w:rsidR="00916675" w:rsidRPr="00227C94" w:rsidRDefault="00916675" w:rsidP="00AF493A">
            <w:pPr>
              <w:pStyle w:val="tblHeaderText"/>
            </w:pPr>
            <w:r w:rsidRPr="00227C94">
              <w:t>Six months ended</w:t>
            </w:r>
          </w:p>
          <w:p w:rsidR="00916675" w:rsidRPr="00227C94" w:rsidRDefault="00916675" w:rsidP="00AF493A">
            <w:pPr>
              <w:pStyle w:val="tblHeaderText"/>
            </w:pPr>
            <w:r w:rsidRPr="00227C94">
              <w:t>30 June</w:t>
            </w:r>
            <w:r w:rsidR="00AF493A" w:rsidRPr="00227C94">
              <w:rPr>
                <w:lang w:val="en-US"/>
              </w:rPr>
              <w:t xml:space="preserve"> </w:t>
            </w:r>
            <w:r w:rsidRPr="00227C94">
              <w:t>2011</w:t>
            </w:r>
          </w:p>
        </w:tc>
        <w:tc>
          <w:tcPr>
            <w:tcW w:w="283" w:type="dxa"/>
            <w:tcBorders>
              <w:right w:val="nil"/>
            </w:tcBorders>
            <w:shd w:val="clear" w:color="auto" w:fill="auto"/>
            <w:vAlign w:val="bottom"/>
          </w:tcPr>
          <w:p w:rsidR="00916675" w:rsidRPr="00227C94" w:rsidRDefault="00916675" w:rsidP="00AF493A">
            <w:pPr>
              <w:pStyle w:val="tblHeaderText"/>
            </w:pPr>
          </w:p>
        </w:tc>
        <w:tc>
          <w:tcPr>
            <w:tcW w:w="1417" w:type="dxa"/>
            <w:tcBorders>
              <w:left w:val="nil"/>
              <w:bottom w:val="single" w:sz="6" w:space="0" w:color="auto"/>
            </w:tcBorders>
            <w:shd w:val="clear" w:color="auto" w:fill="auto"/>
            <w:vAlign w:val="bottom"/>
          </w:tcPr>
          <w:p w:rsidR="00916675" w:rsidRPr="00227C94" w:rsidRDefault="00916675" w:rsidP="00AF493A">
            <w:pPr>
              <w:pStyle w:val="tblHeaderText"/>
            </w:pPr>
            <w:r w:rsidRPr="00227C94">
              <w:t>Six months ended</w:t>
            </w:r>
          </w:p>
          <w:p w:rsidR="00916675" w:rsidRPr="00227C94" w:rsidRDefault="00916675" w:rsidP="00AF493A">
            <w:pPr>
              <w:pStyle w:val="tblHeaderText"/>
            </w:pPr>
            <w:r w:rsidRPr="00227C94">
              <w:t>31 December 2011</w:t>
            </w:r>
          </w:p>
        </w:tc>
      </w:tr>
      <w:tr w:rsidR="00916675" w:rsidRPr="00227C94" w:rsidTr="00291505">
        <w:trPr>
          <w:cantSplit/>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shd w:val="clear" w:color="auto" w:fill="auto"/>
            <w:vAlign w:val="bottom"/>
          </w:tcPr>
          <w:p w:rsidR="00916675" w:rsidRPr="00227C94" w:rsidRDefault="00916675" w:rsidP="00291505">
            <w:pPr>
              <w:pStyle w:val="tblNumber01"/>
            </w:pPr>
          </w:p>
        </w:tc>
        <w:tc>
          <w:tcPr>
            <w:tcW w:w="1417" w:type="dxa"/>
            <w:tcBorders>
              <w:top w:val="single" w:sz="6" w:space="0" w:color="auto"/>
              <w:right w:val="nil"/>
            </w:tcBorders>
            <w:shd w:val="clear" w:color="auto" w:fill="auto"/>
            <w:vAlign w:val="bottom"/>
          </w:tcPr>
          <w:p w:rsidR="00916675" w:rsidRPr="00227C94" w:rsidRDefault="00916675" w:rsidP="00291505">
            <w:pPr>
              <w:pStyle w:val="tblNumber01"/>
            </w:pPr>
          </w:p>
        </w:tc>
        <w:tc>
          <w:tcPr>
            <w:tcW w:w="283" w:type="dxa"/>
            <w:tcBorders>
              <w:right w:val="nil"/>
            </w:tcBorders>
            <w:shd w:val="clear" w:color="auto" w:fill="auto"/>
            <w:vAlign w:val="bottom"/>
          </w:tcPr>
          <w:p w:rsidR="00916675" w:rsidRPr="00227C94" w:rsidRDefault="00916675" w:rsidP="00291505">
            <w:pPr>
              <w:pStyle w:val="tblNumber01"/>
            </w:pPr>
          </w:p>
        </w:tc>
        <w:tc>
          <w:tcPr>
            <w:tcW w:w="1417" w:type="dxa"/>
            <w:tcBorders>
              <w:top w:val="single" w:sz="6" w:space="0" w:color="auto"/>
              <w:left w:val="nil"/>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lang w:val="en-US"/>
              </w:rPr>
            </w:pPr>
            <w:r w:rsidRPr="00227C94">
              <w:rPr>
                <w:b/>
                <w:lang w:val="en-US"/>
              </w:rPr>
              <w:t>Balance at beginning of the period</w:t>
            </w:r>
          </w:p>
        </w:tc>
        <w:tc>
          <w:tcPr>
            <w:tcW w:w="1417" w:type="dxa"/>
            <w:shd w:val="clear" w:color="auto" w:fill="auto"/>
            <w:vAlign w:val="bottom"/>
          </w:tcPr>
          <w:p w:rsidR="00916675" w:rsidRPr="00227C94" w:rsidRDefault="00916675" w:rsidP="00291505">
            <w:pPr>
              <w:pStyle w:val="tblNumber01"/>
              <w:rPr>
                <w:b/>
              </w:rPr>
            </w:pPr>
            <w:r w:rsidRPr="00227C94">
              <w:rPr>
                <w:b/>
              </w:rPr>
              <w:t>399,846</w:t>
            </w:r>
          </w:p>
        </w:tc>
        <w:tc>
          <w:tcPr>
            <w:tcW w:w="283" w:type="dxa"/>
            <w:shd w:val="clear" w:color="auto" w:fill="auto"/>
            <w:vAlign w:val="bottom"/>
          </w:tcPr>
          <w:p w:rsidR="00916675" w:rsidRPr="00227C94" w:rsidRDefault="00916675" w:rsidP="00291505">
            <w:pPr>
              <w:pStyle w:val="tblNumber01"/>
            </w:pPr>
          </w:p>
        </w:tc>
        <w:tc>
          <w:tcPr>
            <w:tcW w:w="1417" w:type="dxa"/>
            <w:tcBorders>
              <w:right w:val="nil"/>
            </w:tcBorders>
            <w:shd w:val="clear" w:color="auto" w:fill="auto"/>
            <w:vAlign w:val="bottom"/>
          </w:tcPr>
          <w:p w:rsidR="00916675" w:rsidRPr="00227C94" w:rsidRDefault="00916675" w:rsidP="00291505">
            <w:pPr>
              <w:pStyle w:val="tblNumber01"/>
              <w:rPr>
                <w:b/>
              </w:rPr>
            </w:pPr>
            <w:r w:rsidRPr="00227C94">
              <w:rPr>
                <w:b/>
              </w:rPr>
              <w:t>442,316</w:t>
            </w:r>
          </w:p>
        </w:tc>
        <w:tc>
          <w:tcPr>
            <w:tcW w:w="283" w:type="dxa"/>
            <w:tcBorders>
              <w:right w:val="nil"/>
            </w:tcBorders>
            <w:shd w:val="clear" w:color="auto" w:fill="auto"/>
            <w:vAlign w:val="bottom"/>
          </w:tcPr>
          <w:p w:rsidR="00916675" w:rsidRPr="00227C94" w:rsidRDefault="00916675" w:rsidP="00291505">
            <w:pPr>
              <w:pStyle w:val="tblNumber01"/>
            </w:pPr>
          </w:p>
        </w:tc>
        <w:tc>
          <w:tcPr>
            <w:tcW w:w="1417" w:type="dxa"/>
            <w:tcBorders>
              <w:left w:val="nil"/>
            </w:tcBorders>
            <w:shd w:val="clear" w:color="auto" w:fill="auto"/>
            <w:vAlign w:val="bottom"/>
          </w:tcPr>
          <w:p w:rsidR="00916675" w:rsidRPr="00227C94" w:rsidRDefault="00916675" w:rsidP="00291505">
            <w:pPr>
              <w:pStyle w:val="tblNumber01"/>
              <w:rPr>
                <w:b/>
              </w:rPr>
            </w:pPr>
            <w:r w:rsidRPr="00227C94">
              <w:rPr>
                <w:b/>
              </w:rPr>
              <w:t>462,552</w:t>
            </w:r>
          </w:p>
        </w:tc>
      </w:tr>
      <w:tr w:rsidR="00916675" w:rsidRPr="00227C94" w:rsidTr="00291505">
        <w:trPr>
          <w:cantSplit/>
        </w:trPr>
        <w:tc>
          <w:tcPr>
            <w:tcW w:w="4118" w:type="dxa"/>
          </w:tcPr>
          <w:p w:rsidR="00916675" w:rsidRPr="00227C94" w:rsidRDefault="00916675" w:rsidP="00291505">
            <w:pPr>
              <w:pStyle w:val="tblText02"/>
            </w:pPr>
            <w:r w:rsidRPr="00227C94">
              <w:t>Additions</w:t>
            </w:r>
          </w:p>
        </w:tc>
        <w:tc>
          <w:tcPr>
            <w:tcW w:w="1417" w:type="dxa"/>
            <w:vAlign w:val="bottom"/>
          </w:tcPr>
          <w:p w:rsidR="00916675" w:rsidRPr="00227C94" w:rsidRDefault="00916675" w:rsidP="00291505">
            <w:pPr>
              <w:pStyle w:val="tblNumber01"/>
            </w:pPr>
            <w:r w:rsidRPr="00227C94">
              <w:t>20,402</w:t>
            </w:r>
          </w:p>
        </w:tc>
        <w:tc>
          <w:tcPr>
            <w:tcW w:w="283" w:type="dxa"/>
            <w:vAlign w:val="bottom"/>
          </w:tcPr>
          <w:p w:rsidR="00916675" w:rsidRPr="00227C94" w:rsidRDefault="00916675" w:rsidP="00291505">
            <w:pPr>
              <w:pStyle w:val="tblNumber01"/>
            </w:pPr>
          </w:p>
        </w:tc>
        <w:tc>
          <w:tcPr>
            <w:tcW w:w="1417" w:type="dxa"/>
            <w:tcBorders>
              <w:right w:val="nil"/>
            </w:tcBorders>
            <w:vAlign w:val="bottom"/>
          </w:tcPr>
          <w:p w:rsidR="00916675" w:rsidRPr="00227C94" w:rsidRDefault="00916675" w:rsidP="00291505">
            <w:pPr>
              <w:pStyle w:val="tblNumber01"/>
            </w:pPr>
            <w:r w:rsidRPr="00227C94">
              <w:t>13,075</w:t>
            </w:r>
          </w:p>
        </w:tc>
        <w:tc>
          <w:tcPr>
            <w:tcW w:w="283" w:type="dxa"/>
            <w:tcBorders>
              <w:right w:val="nil"/>
            </w:tcBorders>
            <w:vAlign w:val="bottom"/>
          </w:tcPr>
          <w:p w:rsidR="00916675" w:rsidRPr="00227C94" w:rsidRDefault="00916675" w:rsidP="00291505">
            <w:pPr>
              <w:pStyle w:val="tblNumber01"/>
            </w:pPr>
          </w:p>
        </w:tc>
        <w:tc>
          <w:tcPr>
            <w:tcW w:w="1417" w:type="dxa"/>
            <w:tcBorders>
              <w:left w:val="nil"/>
            </w:tcBorders>
            <w:vAlign w:val="bottom"/>
          </w:tcPr>
          <w:p w:rsidR="00916675" w:rsidRPr="00227C94" w:rsidRDefault="00916675" w:rsidP="00291505">
            <w:pPr>
              <w:pStyle w:val="tblNumber01"/>
            </w:pPr>
            <w:r w:rsidRPr="00227C94">
              <w:t>18,619</w:t>
            </w:r>
          </w:p>
        </w:tc>
      </w:tr>
      <w:tr w:rsidR="00916675" w:rsidRPr="00227C94" w:rsidTr="00291505">
        <w:trPr>
          <w:cantSplit/>
        </w:trPr>
        <w:tc>
          <w:tcPr>
            <w:tcW w:w="4118" w:type="dxa"/>
          </w:tcPr>
          <w:p w:rsidR="00916675" w:rsidRPr="00227C94" w:rsidRDefault="00916675" w:rsidP="00291505">
            <w:pPr>
              <w:pStyle w:val="tblText02"/>
              <w:rPr>
                <w:lang w:val="en-US"/>
              </w:rPr>
            </w:pPr>
            <w:r w:rsidRPr="00227C94">
              <w:rPr>
                <w:lang w:val="en-US"/>
              </w:rPr>
              <w:t>Transfers from / (to) mining assets (note 10)</w:t>
            </w:r>
          </w:p>
        </w:tc>
        <w:tc>
          <w:tcPr>
            <w:tcW w:w="1417" w:type="dxa"/>
            <w:vAlign w:val="bottom"/>
          </w:tcPr>
          <w:p w:rsidR="00916675" w:rsidRPr="00227C94" w:rsidRDefault="00916675" w:rsidP="00291505">
            <w:pPr>
              <w:pStyle w:val="tblNumber01"/>
            </w:pPr>
            <w:r w:rsidRPr="00227C94">
              <w:t>5,337</w:t>
            </w:r>
          </w:p>
        </w:tc>
        <w:tc>
          <w:tcPr>
            <w:tcW w:w="283" w:type="dxa"/>
            <w:vAlign w:val="bottom"/>
          </w:tcPr>
          <w:p w:rsidR="00916675" w:rsidRPr="00227C94" w:rsidRDefault="00916675" w:rsidP="00291505">
            <w:pPr>
              <w:pStyle w:val="tblNumber01"/>
            </w:pPr>
          </w:p>
        </w:tc>
        <w:tc>
          <w:tcPr>
            <w:tcW w:w="1417" w:type="dxa"/>
            <w:tcBorders>
              <w:right w:val="nil"/>
            </w:tcBorders>
            <w:vAlign w:val="bottom"/>
          </w:tcPr>
          <w:p w:rsidR="00916675" w:rsidRPr="00227C94" w:rsidRDefault="00976042" w:rsidP="00291505">
            <w:pPr>
              <w:pStyle w:val="tblNumber00"/>
              <w:rPr>
                <w:lang w:val="en-GB"/>
              </w:rPr>
            </w:pPr>
            <w:r w:rsidRPr="00227C94">
              <w:rPr>
                <w:lang w:val="en-GB"/>
              </w:rPr>
              <w:t>-</w:t>
            </w:r>
          </w:p>
        </w:tc>
        <w:tc>
          <w:tcPr>
            <w:tcW w:w="283" w:type="dxa"/>
            <w:tcBorders>
              <w:right w:val="nil"/>
            </w:tcBorders>
            <w:vAlign w:val="bottom"/>
          </w:tcPr>
          <w:p w:rsidR="00916675" w:rsidRPr="00227C94" w:rsidRDefault="00916675" w:rsidP="00291505">
            <w:pPr>
              <w:pStyle w:val="tblNumber01"/>
            </w:pPr>
          </w:p>
        </w:tc>
        <w:tc>
          <w:tcPr>
            <w:tcW w:w="1417" w:type="dxa"/>
            <w:tcBorders>
              <w:left w:val="nil"/>
            </w:tcBorders>
            <w:vAlign w:val="bottom"/>
          </w:tcPr>
          <w:p w:rsidR="00916675" w:rsidRPr="00227C94" w:rsidRDefault="00916675" w:rsidP="00291505">
            <w:pPr>
              <w:pStyle w:val="tblNumber00"/>
            </w:pPr>
            <w:r w:rsidRPr="00227C94">
              <w:t>(2</w:t>
            </w:r>
            <w:r w:rsidR="00976042" w:rsidRPr="00227C94">
              <w:rPr>
                <w:lang w:val="en-GB"/>
              </w:rPr>
              <w:t>6</w:t>
            </w:r>
            <w:r w:rsidRPr="00227C94">
              <w:t>4)</w:t>
            </w:r>
          </w:p>
        </w:tc>
      </w:tr>
      <w:tr w:rsidR="00916675" w:rsidRPr="00227C94" w:rsidTr="00291505">
        <w:trPr>
          <w:cantSplit/>
        </w:trPr>
        <w:tc>
          <w:tcPr>
            <w:tcW w:w="4118" w:type="dxa"/>
          </w:tcPr>
          <w:p w:rsidR="00916675" w:rsidRPr="00227C94" w:rsidRDefault="00916675" w:rsidP="00291505">
            <w:pPr>
              <w:pStyle w:val="tblText02"/>
            </w:pPr>
            <w:r w:rsidRPr="00227C94">
              <w:t>Impairment</w:t>
            </w:r>
          </w:p>
        </w:tc>
        <w:tc>
          <w:tcPr>
            <w:tcW w:w="1417" w:type="dxa"/>
            <w:vAlign w:val="bottom"/>
          </w:tcPr>
          <w:p w:rsidR="00916675" w:rsidRPr="00227C94" w:rsidRDefault="00916675" w:rsidP="00291505">
            <w:pPr>
              <w:pStyle w:val="tblNumber00"/>
            </w:pPr>
            <w:r w:rsidRPr="00227C94">
              <w:t>(243)</w:t>
            </w:r>
          </w:p>
        </w:tc>
        <w:tc>
          <w:tcPr>
            <w:tcW w:w="283" w:type="dxa"/>
            <w:vAlign w:val="bottom"/>
          </w:tcPr>
          <w:p w:rsidR="00916675" w:rsidRPr="00227C94" w:rsidRDefault="00916675" w:rsidP="00291505">
            <w:pPr>
              <w:pStyle w:val="tblNumber01"/>
            </w:pPr>
          </w:p>
        </w:tc>
        <w:tc>
          <w:tcPr>
            <w:tcW w:w="1417" w:type="dxa"/>
            <w:tcBorders>
              <w:right w:val="nil"/>
            </w:tcBorders>
            <w:vAlign w:val="bottom"/>
          </w:tcPr>
          <w:p w:rsidR="00916675" w:rsidRPr="00227C94" w:rsidRDefault="00916675" w:rsidP="00291505">
            <w:pPr>
              <w:pStyle w:val="tblNumber00"/>
            </w:pPr>
            <w:r w:rsidRPr="00227C94">
              <w:t>(15,100)</w:t>
            </w:r>
          </w:p>
        </w:tc>
        <w:tc>
          <w:tcPr>
            <w:tcW w:w="283" w:type="dxa"/>
            <w:tcBorders>
              <w:right w:val="nil"/>
            </w:tcBorders>
            <w:vAlign w:val="bottom"/>
          </w:tcPr>
          <w:p w:rsidR="00916675" w:rsidRPr="00227C94" w:rsidRDefault="00916675" w:rsidP="00291505">
            <w:pPr>
              <w:pStyle w:val="tblNumber01"/>
            </w:pPr>
          </w:p>
        </w:tc>
        <w:tc>
          <w:tcPr>
            <w:tcW w:w="1417" w:type="dxa"/>
            <w:tcBorders>
              <w:left w:val="nil"/>
            </w:tcBorders>
            <w:vAlign w:val="bottom"/>
          </w:tcPr>
          <w:p w:rsidR="00916675" w:rsidRPr="00227C94" w:rsidRDefault="00916675" w:rsidP="00291505">
            <w:pPr>
              <w:pStyle w:val="tblNumber00"/>
            </w:pPr>
            <w:r w:rsidRPr="00227C94">
              <w:t>(39,608)</w:t>
            </w:r>
          </w:p>
        </w:tc>
      </w:tr>
      <w:tr w:rsidR="00916675" w:rsidRPr="00227C94" w:rsidTr="00A701F4">
        <w:trPr>
          <w:cantSplit/>
        </w:trPr>
        <w:tc>
          <w:tcPr>
            <w:tcW w:w="4118" w:type="dxa"/>
          </w:tcPr>
          <w:p w:rsidR="00916675" w:rsidRPr="00227C94" w:rsidRDefault="00916675" w:rsidP="00291505">
            <w:pPr>
              <w:pStyle w:val="tblText02"/>
            </w:pPr>
            <w:r w:rsidRPr="00227C94">
              <w:t>Disposals of subsidiaries</w:t>
            </w:r>
          </w:p>
        </w:tc>
        <w:tc>
          <w:tcPr>
            <w:tcW w:w="1417" w:type="dxa"/>
            <w:vAlign w:val="bottom"/>
          </w:tcPr>
          <w:p w:rsidR="00916675" w:rsidRPr="00227C94" w:rsidRDefault="00916675" w:rsidP="00291505">
            <w:pPr>
              <w:pStyle w:val="tblNumber00"/>
            </w:pPr>
            <w:r w:rsidRPr="00227C94">
              <w:t>(4,424)</w:t>
            </w:r>
          </w:p>
        </w:tc>
        <w:tc>
          <w:tcPr>
            <w:tcW w:w="283" w:type="dxa"/>
            <w:vAlign w:val="bottom"/>
          </w:tcPr>
          <w:p w:rsidR="00916675" w:rsidRPr="00227C94" w:rsidRDefault="00916675" w:rsidP="00291505">
            <w:pPr>
              <w:pStyle w:val="tblNumber01"/>
            </w:pPr>
          </w:p>
        </w:tc>
        <w:tc>
          <w:tcPr>
            <w:tcW w:w="1417" w:type="dxa"/>
            <w:tcBorders>
              <w:right w:val="nil"/>
            </w:tcBorders>
            <w:vAlign w:val="bottom"/>
          </w:tcPr>
          <w:p w:rsidR="00916675" w:rsidRPr="00227C94" w:rsidRDefault="00916675" w:rsidP="00291505">
            <w:pPr>
              <w:pStyle w:val="tblNumberDash"/>
            </w:pPr>
            <w:r w:rsidRPr="00227C94">
              <w:t>-</w:t>
            </w:r>
          </w:p>
        </w:tc>
        <w:tc>
          <w:tcPr>
            <w:tcW w:w="283" w:type="dxa"/>
            <w:tcBorders>
              <w:right w:val="nil"/>
            </w:tcBorders>
            <w:vAlign w:val="bottom"/>
          </w:tcPr>
          <w:p w:rsidR="00916675" w:rsidRPr="00227C94" w:rsidRDefault="00916675" w:rsidP="00291505">
            <w:pPr>
              <w:pStyle w:val="tblNumber01"/>
            </w:pPr>
          </w:p>
        </w:tc>
        <w:tc>
          <w:tcPr>
            <w:tcW w:w="1417" w:type="dxa"/>
            <w:tcBorders>
              <w:left w:val="nil"/>
            </w:tcBorders>
            <w:vAlign w:val="bottom"/>
          </w:tcPr>
          <w:p w:rsidR="00916675" w:rsidRPr="00227C94" w:rsidRDefault="00916675" w:rsidP="00291505">
            <w:pPr>
              <w:pStyle w:val="tblNumberDash"/>
            </w:pPr>
            <w:r w:rsidRPr="00227C94">
              <w:t>-</w:t>
            </w:r>
          </w:p>
        </w:tc>
      </w:tr>
      <w:tr w:rsidR="00916675" w:rsidRPr="00227C94" w:rsidTr="00A701F4">
        <w:trPr>
          <w:cantSplit/>
        </w:trPr>
        <w:tc>
          <w:tcPr>
            <w:tcW w:w="4118" w:type="dxa"/>
          </w:tcPr>
          <w:p w:rsidR="00916675" w:rsidRPr="00227C94" w:rsidRDefault="00916675" w:rsidP="00291505">
            <w:pPr>
              <w:pStyle w:val="tblText02"/>
              <w:rPr>
                <w:lang w:val="en-US"/>
              </w:rPr>
            </w:pPr>
            <w:r w:rsidRPr="00227C94">
              <w:rPr>
                <w:lang w:val="en-US"/>
              </w:rPr>
              <w:t>Effect of translation to presentation currency</w:t>
            </w:r>
          </w:p>
        </w:tc>
        <w:tc>
          <w:tcPr>
            <w:tcW w:w="1417" w:type="dxa"/>
            <w:tcBorders>
              <w:bottom w:val="single" w:sz="6" w:space="0" w:color="auto"/>
            </w:tcBorders>
            <w:shd w:val="clear" w:color="auto" w:fill="auto"/>
            <w:vAlign w:val="bottom"/>
          </w:tcPr>
          <w:p w:rsidR="00916675" w:rsidRPr="00227C94" w:rsidRDefault="00916675" w:rsidP="00291505">
            <w:pPr>
              <w:pStyle w:val="tblNumber00"/>
            </w:pPr>
            <w:r w:rsidRPr="00227C94">
              <w:t>(8,596)</w:t>
            </w:r>
          </w:p>
        </w:tc>
        <w:tc>
          <w:tcPr>
            <w:tcW w:w="283" w:type="dxa"/>
            <w:vAlign w:val="bottom"/>
          </w:tcPr>
          <w:p w:rsidR="00916675" w:rsidRPr="00227C94" w:rsidRDefault="00916675" w:rsidP="00291505">
            <w:pPr>
              <w:pStyle w:val="tblNumber01"/>
            </w:pPr>
          </w:p>
        </w:tc>
        <w:tc>
          <w:tcPr>
            <w:tcW w:w="1417" w:type="dxa"/>
            <w:tcBorders>
              <w:bottom w:val="single" w:sz="6" w:space="0" w:color="auto"/>
              <w:right w:val="nil"/>
            </w:tcBorders>
            <w:shd w:val="clear" w:color="auto" w:fill="auto"/>
            <w:vAlign w:val="bottom"/>
          </w:tcPr>
          <w:p w:rsidR="00916675" w:rsidRPr="00227C94" w:rsidRDefault="00916675" w:rsidP="00291505">
            <w:pPr>
              <w:pStyle w:val="tblNumber01"/>
              <w:rPr>
                <w:lang w:val="en-GB"/>
              </w:rPr>
            </w:pPr>
            <w:r w:rsidRPr="00227C94">
              <w:t>22,</w:t>
            </w:r>
            <w:r w:rsidR="00976042" w:rsidRPr="00227C94">
              <w:rPr>
                <w:lang w:val="en-GB"/>
              </w:rPr>
              <w:t>261</w:t>
            </w:r>
          </w:p>
        </w:tc>
        <w:tc>
          <w:tcPr>
            <w:tcW w:w="283" w:type="dxa"/>
            <w:tcBorders>
              <w:right w:val="nil"/>
            </w:tcBorders>
            <w:vAlign w:val="bottom"/>
          </w:tcPr>
          <w:p w:rsidR="00916675" w:rsidRPr="00227C94" w:rsidRDefault="00916675" w:rsidP="00291505">
            <w:pPr>
              <w:pStyle w:val="tblNumber01"/>
            </w:pPr>
          </w:p>
        </w:tc>
        <w:tc>
          <w:tcPr>
            <w:tcW w:w="1417" w:type="dxa"/>
            <w:tcBorders>
              <w:left w:val="nil"/>
              <w:bottom w:val="single" w:sz="6" w:space="0" w:color="auto"/>
            </w:tcBorders>
            <w:shd w:val="clear" w:color="auto" w:fill="auto"/>
            <w:vAlign w:val="bottom"/>
          </w:tcPr>
          <w:p w:rsidR="00916675" w:rsidRPr="00227C94" w:rsidRDefault="00916675" w:rsidP="00291505">
            <w:pPr>
              <w:pStyle w:val="tblNumber00"/>
            </w:pPr>
            <w:r w:rsidRPr="00227C94">
              <w:t>(41,</w:t>
            </w:r>
            <w:r w:rsidR="00976042" w:rsidRPr="00227C94">
              <w:rPr>
                <w:lang w:val="en-GB"/>
              </w:rPr>
              <w:t>4</w:t>
            </w:r>
            <w:r w:rsidRPr="00227C94">
              <w:t>53)</w:t>
            </w:r>
          </w:p>
        </w:tc>
      </w:tr>
      <w:tr w:rsidR="00916675" w:rsidRPr="00227C94" w:rsidTr="00A701F4">
        <w:trPr>
          <w:cantSplit/>
        </w:trPr>
        <w:tc>
          <w:tcPr>
            <w:tcW w:w="4118" w:type="dxa"/>
          </w:tcPr>
          <w:p w:rsidR="00916675" w:rsidRPr="00227C94" w:rsidRDefault="00916675" w:rsidP="00291505">
            <w:pPr>
              <w:pStyle w:val="tblText02"/>
            </w:pPr>
          </w:p>
        </w:tc>
        <w:tc>
          <w:tcPr>
            <w:tcW w:w="1417" w:type="dxa"/>
            <w:tcBorders>
              <w:top w:val="single" w:sz="6" w:space="0" w:color="auto"/>
            </w:tcBorders>
            <w:shd w:val="clear" w:color="auto" w:fill="auto"/>
            <w:vAlign w:val="bottom"/>
          </w:tcPr>
          <w:p w:rsidR="00916675" w:rsidRPr="00227C94" w:rsidRDefault="00916675" w:rsidP="00291505">
            <w:pPr>
              <w:pStyle w:val="tblNumber01"/>
            </w:pPr>
          </w:p>
        </w:tc>
        <w:tc>
          <w:tcPr>
            <w:tcW w:w="283" w:type="dxa"/>
            <w:vAlign w:val="bottom"/>
          </w:tcPr>
          <w:p w:rsidR="00916675" w:rsidRPr="00227C94" w:rsidRDefault="00916675" w:rsidP="00291505">
            <w:pPr>
              <w:pStyle w:val="tblNumber01"/>
            </w:pPr>
          </w:p>
        </w:tc>
        <w:tc>
          <w:tcPr>
            <w:tcW w:w="1417" w:type="dxa"/>
            <w:tcBorders>
              <w:top w:val="single" w:sz="6" w:space="0" w:color="auto"/>
              <w:right w:val="nil"/>
            </w:tcBorders>
            <w:shd w:val="clear" w:color="auto" w:fill="auto"/>
            <w:vAlign w:val="bottom"/>
          </w:tcPr>
          <w:p w:rsidR="00916675" w:rsidRPr="00227C94" w:rsidRDefault="00916675" w:rsidP="00291505">
            <w:pPr>
              <w:pStyle w:val="tblNumber01"/>
            </w:pPr>
          </w:p>
        </w:tc>
        <w:tc>
          <w:tcPr>
            <w:tcW w:w="283" w:type="dxa"/>
            <w:tcBorders>
              <w:right w:val="nil"/>
            </w:tcBorders>
            <w:vAlign w:val="bottom"/>
          </w:tcPr>
          <w:p w:rsidR="00916675" w:rsidRPr="00227C94" w:rsidRDefault="00916675" w:rsidP="00291505">
            <w:pPr>
              <w:pStyle w:val="tblNumber01"/>
            </w:pPr>
          </w:p>
        </w:tc>
        <w:tc>
          <w:tcPr>
            <w:tcW w:w="1417" w:type="dxa"/>
            <w:tcBorders>
              <w:top w:val="single" w:sz="6" w:space="0" w:color="auto"/>
              <w:left w:val="nil"/>
            </w:tcBorders>
            <w:shd w:val="clear" w:color="auto" w:fill="auto"/>
            <w:vAlign w:val="bottom"/>
          </w:tcPr>
          <w:p w:rsidR="00916675" w:rsidRPr="00227C94" w:rsidRDefault="00916675" w:rsidP="00291505">
            <w:pPr>
              <w:pStyle w:val="tblNumber01"/>
            </w:pPr>
          </w:p>
        </w:tc>
      </w:tr>
      <w:tr w:rsidR="00916675" w:rsidRPr="00227C94" w:rsidTr="00291505">
        <w:trPr>
          <w:cantSplit/>
        </w:trPr>
        <w:tc>
          <w:tcPr>
            <w:tcW w:w="4118" w:type="dxa"/>
          </w:tcPr>
          <w:p w:rsidR="00916675" w:rsidRPr="00227C94" w:rsidRDefault="00916675" w:rsidP="00291505">
            <w:pPr>
              <w:pStyle w:val="tblText02"/>
              <w:rPr>
                <w:b/>
                <w:lang w:val="en-US"/>
              </w:rPr>
            </w:pPr>
            <w:r w:rsidRPr="00227C94">
              <w:rPr>
                <w:b/>
                <w:lang w:val="en-US"/>
              </w:rPr>
              <w:t>Balance at end of the period</w:t>
            </w:r>
          </w:p>
        </w:tc>
        <w:tc>
          <w:tcPr>
            <w:tcW w:w="1417" w:type="dxa"/>
            <w:tcBorders>
              <w:bottom w:val="double" w:sz="6" w:space="0" w:color="auto"/>
            </w:tcBorders>
            <w:shd w:val="clear" w:color="auto" w:fill="auto"/>
            <w:vAlign w:val="bottom"/>
          </w:tcPr>
          <w:p w:rsidR="00916675" w:rsidRPr="00227C94" w:rsidRDefault="00916675" w:rsidP="00291505">
            <w:pPr>
              <w:pStyle w:val="tblNumber01"/>
              <w:rPr>
                <w:b/>
              </w:rPr>
            </w:pPr>
            <w:r w:rsidRPr="00227C94">
              <w:rPr>
                <w:b/>
              </w:rPr>
              <w:t>412,322</w:t>
            </w:r>
          </w:p>
        </w:tc>
        <w:tc>
          <w:tcPr>
            <w:tcW w:w="283" w:type="dxa"/>
            <w:vAlign w:val="bottom"/>
          </w:tcPr>
          <w:p w:rsidR="00916675" w:rsidRPr="00227C94" w:rsidRDefault="00916675" w:rsidP="00291505">
            <w:pPr>
              <w:pStyle w:val="tblNumber01"/>
            </w:pPr>
          </w:p>
        </w:tc>
        <w:tc>
          <w:tcPr>
            <w:tcW w:w="1417" w:type="dxa"/>
            <w:tcBorders>
              <w:bottom w:val="double" w:sz="6" w:space="0" w:color="auto"/>
              <w:right w:val="nil"/>
            </w:tcBorders>
            <w:shd w:val="clear" w:color="auto" w:fill="auto"/>
            <w:vAlign w:val="bottom"/>
          </w:tcPr>
          <w:p w:rsidR="00916675" w:rsidRPr="00227C94" w:rsidRDefault="00916675" w:rsidP="00291505">
            <w:pPr>
              <w:pStyle w:val="tblNumber01"/>
              <w:rPr>
                <w:b/>
              </w:rPr>
            </w:pPr>
            <w:r w:rsidRPr="00227C94">
              <w:rPr>
                <w:b/>
              </w:rPr>
              <w:t>462,552</w:t>
            </w:r>
          </w:p>
        </w:tc>
        <w:tc>
          <w:tcPr>
            <w:tcW w:w="283" w:type="dxa"/>
            <w:tcBorders>
              <w:right w:val="nil"/>
            </w:tcBorders>
            <w:vAlign w:val="bottom"/>
          </w:tcPr>
          <w:p w:rsidR="00916675" w:rsidRPr="00227C94" w:rsidRDefault="00916675" w:rsidP="00291505">
            <w:pPr>
              <w:pStyle w:val="tblNumber01"/>
            </w:pPr>
          </w:p>
        </w:tc>
        <w:tc>
          <w:tcPr>
            <w:tcW w:w="1417" w:type="dxa"/>
            <w:tcBorders>
              <w:left w:val="nil"/>
              <w:bottom w:val="double" w:sz="6" w:space="0" w:color="auto"/>
            </w:tcBorders>
            <w:shd w:val="clear" w:color="auto" w:fill="auto"/>
            <w:vAlign w:val="bottom"/>
          </w:tcPr>
          <w:p w:rsidR="00916675" w:rsidRPr="00227C94" w:rsidRDefault="00916675" w:rsidP="00291505">
            <w:pPr>
              <w:pStyle w:val="tblNumber01"/>
              <w:rPr>
                <w:b/>
              </w:rPr>
            </w:pPr>
            <w:r w:rsidRPr="00227C94">
              <w:rPr>
                <w:b/>
              </w:rPr>
              <w:t>399,846</w:t>
            </w:r>
          </w:p>
        </w:tc>
      </w:tr>
    </w:tbl>
    <w:p w:rsidR="00916675" w:rsidRPr="00227C94" w:rsidRDefault="00916675" w:rsidP="00291505">
      <w:pPr>
        <w:pStyle w:val="23"/>
        <w:rPr>
          <w:color w:val="auto"/>
        </w:rPr>
      </w:pPr>
    </w:p>
    <w:p w:rsidR="00916675" w:rsidRPr="00227C94" w:rsidRDefault="00916675" w:rsidP="00291505">
      <w:pPr>
        <w:pStyle w:val="23"/>
        <w:rPr>
          <w:color w:val="auto"/>
        </w:rPr>
      </w:pPr>
    </w:p>
    <w:p w:rsidR="00916675" w:rsidRPr="00227C94" w:rsidRDefault="00291505" w:rsidP="00291505">
      <w:pPr>
        <w:pStyle w:val="1"/>
        <w:rPr>
          <w:lang w:val="en-US"/>
        </w:rPr>
      </w:pPr>
      <w:r w:rsidRPr="00227C94">
        <w:rPr>
          <w:lang w:val="en-US"/>
        </w:rPr>
        <w:br w:type="page"/>
      </w:r>
      <w:r w:rsidR="00916675" w:rsidRPr="00227C94">
        <w:rPr>
          <w:lang w:val="en-US"/>
        </w:rPr>
        <w:lastRenderedPageBreak/>
        <w:t>INVESTMENTS IN SECURITIES AND OTHER FINANCIAL ASSETS</w:t>
      </w:r>
    </w:p>
    <w:p w:rsidR="00916675" w:rsidRPr="00227C94" w:rsidRDefault="00916675" w:rsidP="00AF493A">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AF493A">
            <w:pPr>
              <w:pStyle w:val="tblHeaderText"/>
              <w:jc w:val="left"/>
              <w:rPr>
                <w:lang w:val="en-US"/>
              </w:rPr>
            </w:pPr>
          </w:p>
        </w:tc>
        <w:tc>
          <w:tcPr>
            <w:tcW w:w="1417" w:type="dxa"/>
            <w:tcBorders>
              <w:bottom w:val="single" w:sz="6" w:space="0" w:color="auto"/>
              <w:right w:val="nil"/>
            </w:tcBorders>
            <w:shd w:val="clear" w:color="auto" w:fill="auto"/>
            <w:vAlign w:val="bottom"/>
          </w:tcPr>
          <w:p w:rsidR="00916675" w:rsidRPr="00227C94" w:rsidRDefault="00916675" w:rsidP="00AF493A">
            <w:pPr>
              <w:pStyle w:val="tblHeaderText"/>
            </w:pPr>
            <w:r w:rsidRPr="00227C94">
              <w:t>30 June</w:t>
            </w:r>
          </w:p>
          <w:p w:rsidR="00916675" w:rsidRPr="00227C94" w:rsidRDefault="00916675" w:rsidP="00AF493A">
            <w:pPr>
              <w:pStyle w:val="tblHeaderText"/>
            </w:pPr>
            <w:r w:rsidRPr="00227C94">
              <w:t>2012</w:t>
            </w:r>
          </w:p>
        </w:tc>
        <w:tc>
          <w:tcPr>
            <w:tcW w:w="283" w:type="dxa"/>
            <w:tcBorders>
              <w:right w:val="nil"/>
            </w:tcBorders>
            <w:shd w:val="clear" w:color="auto" w:fill="auto"/>
          </w:tcPr>
          <w:p w:rsidR="00916675" w:rsidRPr="00227C94" w:rsidRDefault="00916675" w:rsidP="00AF493A">
            <w:pPr>
              <w:pStyle w:val="tblHeaderText"/>
            </w:pPr>
          </w:p>
        </w:tc>
        <w:tc>
          <w:tcPr>
            <w:tcW w:w="1417" w:type="dxa"/>
            <w:tcBorders>
              <w:left w:val="nil"/>
              <w:bottom w:val="single" w:sz="6" w:space="0" w:color="auto"/>
            </w:tcBorders>
            <w:shd w:val="clear" w:color="auto" w:fill="auto"/>
            <w:vAlign w:val="bottom"/>
          </w:tcPr>
          <w:p w:rsidR="00916675" w:rsidRPr="00227C94" w:rsidRDefault="00916675" w:rsidP="00AF493A">
            <w:pPr>
              <w:pStyle w:val="tblHeaderText"/>
            </w:pPr>
            <w:r w:rsidRPr="00227C94">
              <w:t>30 June</w:t>
            </w:r>
          </w:p>
          <w:p w:rsidR="00916675" w:rsidRPr="00227C94" w:rsidRDefault="00916675" w:rsidP="00AF493A">
            <w:pPr>
              <w:pStyle w:val="tblHeaderText"/>
            </w:pPr>
            <w:r w:rsidRPr="00227C94">
              <w:t>2011</w:t>
            </w:r>
          </w:p>
        </w:tc>
        <w:tc>
          <w:tcPr>
            <w:tcW w:w="283" w:type="dxa"/>
            <w:shd w:val="clear" w:color="auto" w:fill="auto"/>
          </w:tcPr>
          <w:p w:rsidR="00916675" w:rsidRPr="00227C94" w:rsidRDefault="00916675" w:rsidP="00AF493A">
            <w:pPr>
              <w:pStyle w:val="tblHeaderText"/>
            </w:pPr>
          </w:p>
        </w:tc>
        <w:tc>
          <w:tcPr>
            <w:tcW w:w="1417" w:type="dxa"/>
            <w:tcBorders>
              <w:bottom w:val="single" w:sz="6" w:space="0" w:color="auto"/>
            </w:tcBorders>
            <w:shd w:val="clear" w:color="auto" w:fill="auto"/>
          </w:tcPr>
          <w:p w:rsidR="00916675" w:rsidRPr="00227C94" w:rsidRDefault="00916675" w:rsidP="00AF493A">
            <w:pPr>
              <w:pStyle w:val="tblHeaderText"/>
            </w:pPr>
            <w:r w:rsidRPr="00227C94">
              <w:t>31 December 2011</w:t>
            </w:r>
          </w:p>
        </w:tc>
      </w:tr>
      <w:tr w:rsidR="00AF493A" w:rsidRPr="00227C94" w:rsidTr="00A701F4">
        <w:trPr>
          <w:cantSplit/>
        </w:trPr>
        <w:tc>
          <w:tcPr>
            <w:tcW w:w="4118" w:type="dxa"/>
            <w:vAlign w:val="bottom"/>
          </w:tcPr>
          <w:p w:rsidR="00AF493A" w:rsidRPr="00227C94" w:rsidRDefault="00AF493A" w:rsidP="00AF493A">
            <w:pPr>
              <w:pStyle w:val="tblHeaderText"/>
              <w:jc w:val="left"/>
            </w:pPr>
          </w:p>
        </w:tc>
        <w:tc>
          <w:tcPr>
            <w:tcW w:w="1417" w:type="dxa"/>
            <w:tcBorders>
              <w:top w:val="single" w:sz="6" w:space="0" w:color="auto"/>
              <w:right w:val="nil"/>
            </w:tcBorders>
            <w:shd w:val="clear" w:color="auto" w:fill="auto"/>
            <w:vAlign w:val="bottom"/>
          </w:tcPr>
          <w:p w:rsidR="00AF493A" w:rsidRPr="00227C94" w:rsidRDefault="00AF493A" w:rsidP="00AF493A">
            <w:pPr>
              <w:pStyle w:val="tblHeaderText"/>
            </w:pPr>
          </w:p>
        </w:tc>
        <w:tc>
          <w:tcPr>
            <w:tcW w:w="283" w:type="dxa"/>
            <w:tcBorders>
              <w:right w:val="nil"/>
            </w:tcBorders>
            <w:shd w:val="clear" w:color="auto" w:fill="auto"/>
          </w:tcPr>
          <w:p w:rsidR="00AF493A" w:rsidRPr="00227C94" w:rsidRDefault="00AF493A" w:rsidP="00AF493A">
            <w:pPr>
              <w:pStyle w:val="tblHeaderText"/>
            </w:pPr>
          </w:p>
        </w:tc>
        <w:tc>
          <w:tcPr>
            <w:tcW w:w="1417" w:type="dxa"/>
            <w:tcBorders>
              <w:top w:val="single" w:sz="6" w:space="0" w:color="auto"/>
              <w:left w:val="nil"/>
            </w:tcBorders>
            <w:shd w:val="clear" w:color="auto" w:fill="auto"/>
            <w:vAlign w:val="bottom"/>
          </w:tcPr>
          <w:p w:rsidR="00AF493A" w:rsidRPr="00227C94" w:rsidRDefault="00AF493A" w:rsidP="00AF493A">
            <w:pPr>
              <w:pStyle w:val="tblHeaderText"/>
            </w:pPr>
          </w:p>
        </w:tc>
        <w:tc>
          <w:tcPr>
            <w:tcW w:w="283" w:type="dxa"/>
            <w:shd w:val="clear" w:color="auto" w:fill="auto"/>
          </w:tcPr>
          <w:p w:rsidR="00AF493A" w:rsidRPr="00227C94" w:rsidRDefault="00AF493A" w:rsidP="00AF493A">
            <w:pPr>
              <w:pStyle w:val="tblHeaderText"/>
            </w:pPr>
          </w:p>
        </w:tc>
        <w:tc>
          <w:tcPr>
            <w:tcW w:w="1417" w:type="dxa"/>
            <w:tcBorders>
              <w:top w:val="single" w:sz="6" w:space="0" w:color="auto"/>
            </w:tcBorders>
            <w:shd w:val="clear" w:color="auto" w:fill="auto"/>
          </w:tcPr>
          <w:p w:rsidR="00AF493A" w:rsidRPr="00227C94" w:rsidRDefault="00AF493A" w:rsidP="00AF493A">
            <w:pPr>
              <w:pStyle w:val="tblHeaderText"/>
            </w:pPr>
          </w:p>
        </w:tc>
      </w:tr>
      <w:tr w:rsidR="00916675" w:rsidRPr="00227C94" w:rsidTr="00AF493A">
        <w:trPr>
          <w:cantSplit/>
        </w:trPr>
        <w:tc>
          <w:tcPr>
            <w:tcW w:w="4118" w:type="dxa"/>
          </w:tcPr>
          <w:p w:rsidR="00916675" w:rsidRPr="00227C94" w:rsidRDefault="00916675" w:rsidP="00AF493A">
            <w:pPr>
              <w:pStyle w:val="tblText02"/>
            </w:pPr>
            <w:r w:rsidRPr="00227C94">
              <w:t>Non-current</w:t>
            </w:r>
          </w:p>
        </w:tc>
        <w:tc>
          <w:tcPr>
            <w:tcW w:w="1417" w:type="dxa"/>
            <w:tcBorders>
              <w:right w:val="nil"/>
            </w:tcBorders>
            <w:shd w:val="clear" w:color="auto" w:fill="auto"/>
            <w:vAlign w:val="bottom"/>
          </w:tcPr>
          <w:p w:rsidR="00916675" w:rsidRPr="00227C94" w:rsidRDefault="00916675" w:rsidP="00AF493A">
            <w:pPr>
              <w:pStyle w:val="tblNumber01"/>
            </w:pPr>
          </w:p>
        </w:tc>
        <w:tc>
          <w:tcPr>
            <w:tcW w:w="283" w:type="dxa"/>
            <w:tcBorders>
              <w:right w:val="nil"/>
            </w:tcBorders>
            <w:shd w:val="clear" w:color="auto" w:fill="auto"/>
            <w:vAlign w:val="bottom"/>
          </w:tcPr>
          <w:p w:rsidR="00916675" w:rsidRPr="00227C94" w:rsidRDefault="00916675" w:rsidP="00AF493A">
            <w:pPr>
              <w:pStyle w:val="tblNumber01"/>
            </w:pPr>
          </w:p>
        </w:tc>
        <w:tc>
          <w:tcPr>
            <w:tcW w:w="1417" w:type="dxa"/>
            <w:tcBorders>
              <w:left w:val="nil"/>
            </w:tcBorders>
            <w:shd w:val="clear" w:color="auto" w:fill="auto"/>
            <w:vAlign w:val="bottom"/>
          </w:tcPr>
          <w:p w:rsidR="00916675" w:rsidRPr="00227C94" w:rsidRDefault="00916675" w:rsidP="00AF493A">
            <w:pPr>
              <w:pStyle w:val="tblNumber01"/>
            </w:pPr>
          </w:p>
        </w:tc>
        <w:tc>
          <w:tcPr>
            <w:tcW w:w="283" w:type="dxa"/>
            <w:shd w:val="clear" w:color="auto" w:fill="auto"/>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p>
        </w:tc>
      </w:tr>
      <w:tr w:rsidR="00916675" w:rsidRPr="00227C94" w:rsidTr="00A701F4">
        <w:trPr>
          <w:cantSplit/>
        </w:trPr>
        <w:tc>
          <w:tcPr>
            <w:tcW w:w="4118" w:type="dxa"/>
          </w:tcPr>
          <w:p w:rsidR="00916675" w:rsidRPr="00227C94" w:rsidRDefault="00916675" w:rsidP="00AF493A">
            <w:pPr>
              <w:pStyle w:val="tblText02"/>
            </w:pPr>
            <w:r w:rsidRPr="00227C94">
              <w:t>Loans receivable</w:t>
            </w:r>
          </w:p>
        </w:tc>
        <w:tc>
          <w:tcPr>
            <w:tcW w:w="1417" w:type="dxa"/>
            <w:tcBorders>
              <w:right w:val="nil"/>
            </w:tcBorders>
            <w:shd w:val="clear" w:color="auto" w:fill="auto"/>
            <w:vAlign w:val="bottom"/>
          </w:tcPr>
          <w:p w:rsidR="00916675" w:rsidRPr="00227C94" w:rsidRDefault="00916675" w:rsidP="00AF493A">
            <w:pPr>
              <w:pStyle w:val="tblNumber01"/>
            </w:pPr>
            <w:r w:rsidRPr="00227C94">
              <w:t>3,330</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shd w:val="clear" w:color="auto" w:fill="auto"/>
            <w:vAlign w:val="bottom"/>
          </w:tcPr>
          <w:p w:rsidR="00916675" w:rsidRPr="00227C94" w:rsidRDefault="00916675" w:rsidP="00AF493A">
            <w:pPr>
              <w:pStyle w:val="tblNumber01"/>
            </w:pPr>
            <w:r w:rsidRPr="00227C94">
              <w:t>4,128</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3,643</w:t>
            </w:r>
          </w:p>
        </w:tc>
      </w:tr>
      <w:tr w:rsidR="00916675" w:rsidRPr="00227C94" w:rsidTr="00A701F4">
        <w:trPr>
          <w:cantSplit/>
        </w:trPr>
        <w:tc>
          <w:tcPr>
            <w:tcW w:w="4118" w:type="dxa"/>
          </w:tcPr>
          <w:p w:rsidR="00916675" w:rsidRPr="00227C94" w:rsidRDefault="00916675" w:rsidP="00AF493A">
            <w:pPr>
              <w:pStyle w:val="tblText02"/>
            </w:pPr>
            <w:r w:rsidRPr="00227C94">
              <w:t>Other</w:t>
            </w:r>
          </w:p>
        </w:tc>
        <w:tc>
          <w:tcPr>
            <w:tcW w:w="1417" w:type="dxa"/>
            <w:tcBorders>
              <w:bottom w:val="single" w:sz="6" w:space="0" w:color="auto"/>
              <w:right w:val="nil"/>
            </w:tcBorders>
            <w:shd w:val="clear" w:color="auto" w:fill="auto"/>
            <w:vAlign w:val="bottom"/>
          </w:tcPr>
          <w:p w:rsidR="00916675" w:rsidRPr="00227C94" w:rsidRDefault="00916675" w:rsidP="00AF493A">
            <w:pPr>
              <w:pStyle w:val="tblNumberDash"/>
            </w:pPr>
            <w:r w:rsidRPr="00227C94">
              <w:t>-</w:t>
            </w:r>
          </w:p>
        </w:tc>
        <w:tc>
          <w:tcPr>
            <w:tcW w:w="283" w:type="dxa"/>
            <w:tcBorders>
              <w:right w:val="nil"/>
            </w:tcBorders>
            <w:vAlign w:val="bottom"/>
          </w:tcPr>
          <w:p w:rsidR="00916675" w:rsidRPr="00227C94" w:rsidRDefault="00916675" w:rsidP="00AF493A">
            <w:pPr>
              <w:pStyle w:val="tblNumber01"/>
            </w:pPr>
          </w:p>
        </w:tc>
        <w:tc>
          <w:tcPr>
            <w:tcW w:w="1417" w:type="dxa"/>
            <w:tcBorders>
              <w:left w:val="nil"/>
              <w:bottom w:val="single" w:sz="6" w:space="0" w:color="auto"/>
            </w:tcBorders>
            <w:shd w:val="clear" w:color="auto" w:fill="auto"/>
            <w:vAlign w:val="bottom"/>
          </w:tcPr>
          <w:p w:rsidR="00916675" w:rsidRPr="00227C94" w:rsidRDefault="00916675" w:rsidP="00AF493A">
            <w:pPr>
              <w:pStyle w:val="tblNumber01"/>
            </w:pPr>
            <w:r w:rsidRPr="00227C94">
              <w:t>339</w:t>
            </w:r>
          </w:p>
        </w:tc>
        <w:tc>
          <w:tcPr>
            <w:tcW w:w="283" w:type="dxa"/>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Dash"/>
            </w:pPr>
            <w:r w:rsidRPr="00227C94">
              <w:t>-</w:t>
            </w:r>
          </w:p>
        </w:tc>
      </w:tr>
      <w:tr w:rsidR="00916675" w:rsidRPr="00227C94" w:rsidTr="00A701F4">
        <w:trPr>
          <w:cantSplit/>
        </w:trPr>
        <w:tc>
          <w:tcPr>
            <w:tcW w:w="4118" w:type="dxa"/>
          </w:tcPr>
          <w:p w:rsidR="00916675" w:rsidRPr="00227C94" w:rsidRDefault="00916675" w:rsidP="00AF493A">
            <w:pPr>
              <w:pStyle w:val="tblText02"/>
            </w:pPr>
          </w:p>
        </w:tc>
        <w:tc>
          <w:tcPr>
            <w:tcW w:w="1417" w:type="dxa"/>
            <w:tcBorders>
              <w:top w:val="single" w:sz="6" w:space="0" w:color="auto"/>
              <w:right w:val="nil"/>
            </w:tcBorders>
            <w:shd w:val="clear" w:color="auto" w:fill="auto"/>
            <w:vAlign w:val="bottom"/>
          </w:tcPr>
          <w:p w:rsidR="00916675" w:rsidRPr="00227C94" w:rsidRDefault="00916675" w:rsidP="00AF493A">
            <w:pPr>
              <w:pStyle w:val="tblNumber01"/>
            </w:pPr>
          </w:p>
        </w:tc>
        <w:tc>
          <w:tcPr>
            <w:tcW w:w="283" w:type="dxa"/>
            <w:tcBorders>
              <w:righ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r>
      <w:tr w:rsidR="00916675" w:rsidRPr="00227C94" w:rsidTr="00A701F4">
        <w:trPr>
          <w:cantSplit/>
        </w:trPr>
        <w:tc>
          <w:tcPr>
            <w:tcW w:w="4118" w:type="dxa"/>
          </w:tcPr>
          <w:p w:rsidR="00916675" w:rsidRPr="00227C94" w:rsidRDefault="00916675" w:rsidP="00AF493A">
            <w:pPr>
              <w:pStyle w:val="tblText02"/>
              <w:rPr>
                <w:b/>
              </w:rPr>
            </w:pPr>
            <w:r w:rsidRPr="00227C94">
              <w:rPr>
                <w:b/>
              </w:rPr>
              <w:t>Total</w:t>
            </w:r>
          </w:p>
        </w:tc>
        <w:tc>
          <w:tcPr>
            <w:tcW w:w="1417" w:type="dxa"/>
            <w:tcBorders>
              <w:bottom w:val="double" w:sz="6" w:space="0" w:color="auto"/>
              <w:right w:val="nil"/>
            </w:tcBorders>
            <w:shd w:val="clear" w:color="auto" w:fill="auto"/>
            <w:vAlign w:val="bottom"/>
          </w:tcPr>
          <w:p w:rsidR="00916675" w:rsidRPr="00227C94" w:rsidRDefault="00916675" w:rsidP="00AF493A">
            <w:pPr>
              <w:pStyle w:val="tblNumber01"/>
              <w:rPr>
                <w:b/>
              </w:rPr>
            </w:pPr>
            <w:r w:rsidRPr="00227C94">
              <w:rPr>
                <w:b/>
              </w:rPr>
              <w:t>3,330</w:t>
            </w:r>
          </w:p>
        </w:tc>
        <w:tc>
          <w:tcPr>
            <w:tcW w:w="283" w:type="dxa"/>
            <w:tcBorders>
              <w:right w:val="nil"/>
            </w:tcBorders>
            <w:vAlign w:val="bottom"/>
          </w:tcPr>
          <w:p w:rsidR="00916675" w:rsidRPr="00227C94" w:rsidRDefault="00916675" w:rsidP="00AF493A">
            <w:pPr>
              <w:pStyle w:val="tblNumber01"/>
            </w:pPr>
          </w:p>
        </w:tc>
        <w:tc>
          <w:tcPr>
            <w:tcW w:w="1417" w:type="dxa"/>
            <w:tcBorders>
              <w:left w:val="nil"/>
              <w:bottom w:val="double" w:sz="6" w:space="0" w:color="auto"/>
            </w:tcBorders>
            <w:shd w:val="clear" w:color="auto" w:fill="auto"/>
            <w:vAlign w:val="bottom"/>
          </w:tcPr>
          <w:p w:rsidR="00916675" w:rsidRPr="00227C94" w:rsidRDefault="00916675" w:rsidP="00AF493A">
            <w:pPr>
              <w:pStyle w:val="tblNumber01"/>
              <w:rPr>
                <w:b/>
              </w:rPr>
            </w:pPr>
            <w:r w:rsidRPr="00227C94">
              <w:rPr>
                <w:b/>
              </w:rPr>
              <w:t>4,467</w:t>
            </w:r>
          </w:p>
        </w:tc>
        <w:tc>
          <w:tcPr>
            <w:tcW w:w="283" w:type="dxa"/>
            <w:vAlign w:val="bottom"/>
          </w:tcPr>
          <w:p w:rsidR="00916675" w:rsidRPr="00227C94" w:rsidRDefault="00916675" w:rsidP="00AF493A">
            <w:pPr>
              <w:pStyle w:val="tblNumber01"/>
            </w:pPr>
          </w:p>
        </w:tc>
        <w:tc>
          <w:tcPr>
            <w:tcW w:w="1417" w:type="dxa"/>
            <w:tcBorders>
              <w:bottom w:val="double" w:sz="6" w:space="0" w:color="auto"/>
            </w:tcBorders>
            <w:shd w:val="clear" w:color="auto" w:fill="auto"/>
            <w:vAlign w:val="bottom"/>
          </w:tcPr>
          <w:p w:rsidR="00916675" w:rsidRPr="00227C94" w:rsidRDefault="00916675" w:rsidP="00AF493A">
            <w:pPr>
              <w:pStyle w:val="tblNumber01"/>
              <w:rPr>
                <w:b/>
              </w:rPr>
            </w:pPr>
            <w:r w:rsidRPr="00227C94">
              <w:rPr>
                <w:b/>
              </w:rPr>
              <w:t>3,643</w:t>
            </w:r>
          </w:p>
        </w:tc>
      </w:tr>
      <w:tr w:rsidR="00916675" w:rsidRPr="00227C94" w:rsidTr="00AF493A">
        <w:trPr>
          <w:cantSplit/>
        </w:trPr>
        <w:tc>
          <w:tcPr>
            <w:tcW w:w="4118" w:type="dxa"/>
          </w:tcPr>
          <w:p w:rsidR="00916675" w:rsidRPr="00227C94" w:rsidRDefault="00916675" w:rsidP="00AF493A">
            <w:pPr>
              <w:pStyle w:val="tblText02"/>
            </w:pPr>
          </w:p>
        </w:tc>
        <w:tc>
          <w:tcPr>
            <w:tcW w:w="1417" w:type="dxa"/>
            <w:tcBorders>
              <w:top w:val="double" w:sz="6" w:space="0" w:color="auto"/>
              <w:right w:val="nil"/>
            </w:tcBorders>
            <w:shd w:val="clear" w:color="auto" w:fill="auto"/>
            <w:vAlign w:val="bottom"/>
          </w:tcPr>
          <w:p w:rsidR="00916675" w:rsidRPr="00227C94" w:rsidRDefault="00916675" w:rsidP="00AF493A">
            <w:pPr>
              <w:pStyle w:val="tblNumber01"/>
            </w:pPr>
          </w:p>
        </w:tc>
        <w:tc>
          <w:tcPr>
            <w:tcW w:w="283" w:type="dxa"/>
            <w:tcBorders>
              <w:right w:val="nil"/>
            </w:tcBorders>
            <w:vAlign w:val="bottom"/>
          </w:tcPr>
          <w:p w:rsidR="00916675" w:rsidRPr="00227C94" w:rsidRDefault="00916675" w:rsidP="00AF493A">
            <w:pPr>
              <w:pStyle w:val="tblNumber01"/>
            </w:pPr>
          </w:p>
        </w:tc>
        <w:tc>
          <w:tcPr>
            <w:tcW w:w="1417" w:type="dxa"/>
            <w:tcBorders>
              <w:top w:val="double" w:sz="6" w:space="0" w:color="auto"/>
              <w:left w:val="nil"/>
            </w:tcBorders>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tcBorders>
              <w:top w:val="double" w:sz="6" w:space="0" w:color="auto"/>
            </w:tcBorders>
            <w:shd w:val="clear" w:color="auto" w:fill="auto"/>
            <w:vAlign w:val="bottom"/>
          </w:tcPr>
          <w:p w:rsidR="00916675" w:rsidRPr="00227C94" w:rsidRDefault="00916675" w:rsidP="00AF493A">
            <w:pPr>
              <w:pStyle w:val="tblNumber01"/>
            </w:pPr>
          </w:p>
        </w:tc>
      </w:tr>
      <w:tr w:rsidR="00916675" w:rsidRPr="00227C94" w:rsidTr="00AF493A">
        <w:trPr>
          <w:cantSplit/>
        </w:trPr>
        <w:tc>
          <w:tcPr>
            <w:tcW w:w="4118" w:type="dxa"/>
          </w:tcPr>
          <w:p w:rsidR="00916675" w:rsidRPr="00227C94" w:rsidRDefault="00916675" w:rsidP="00AF493A">
            <w:pPr>
              <w:pStyle w:val="tblText02"/>
              <w:rPr>
                <w:b/>
              </w:rPr>
            </w:pPr>
            <w:r w:rsidRPr="00227C94">
              <w:rPr>
                <w:b/>
              </w:rPr>
              <w:t>Current</w:t>
            </w:r>
          </w:p>
        </w:tc>
        <w:tc>
          <w:tcPr>
            <w:tcW w:w="1417" w:type="dxa"/>
            <w:tcBorders>
              <w:right w:val="nil"/>
            </w:tcBorders>
            <w:shd w:val="clear" w:color="auto" w:fill="auto"/>
            <w:vAlign w:val="bottom"/>
          </w:tcPr>
          <w:p w:rsidR="00916675" w:rsidRPr="00227C94" w:rsidRDefault="00916675" w:rsidP="00AF493A">
            <w:pPr>
              <w:pStyle w:val="tblNumber01"/>
            </w:pP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p>
        </w:tc>
      </w:tr>
      <w:tr w:rsidR="00916675" w:rsidRPr="00227C94" w:rsidTr="00AF493A">
        <w:trPr>
          <w:cantSplit/>
        </w:trPr>
        <w:tc>
          <w:tcPr>
            <w:tcW w:w="4118" w:type="dxa"/>
          </w:tcPr>
          <w:p w:rsidR="00916675" w:rsidRPr="00227C94" w:rsidRDefault="00916675" w:rsidP="00AF493A">
            <w:pPr>
              <w:pStyle w:val="tblText02"/>
              <w:rPr>
                <w:b/>
              </w:rPr>
            </w:pPr>
            <w:r w:rsidRPr="00227C94">
              <w:t>AFS equity investments</w:t>
            </w:r>
          </w:p>
        </w:tc>
        <w:tc>
          <w:tcPr>
            <w:tcW w:w="1417" w:type="dxa"/>
            <w:tcBorders>
              <w:right w:val="nil"/>
            </w:tcBorders>
            <w:shd w:val="clear" w:color="auto" w:fill="auto"/>
            <w:vAlign w:val="bottom"/>
          </w:tcPr>
          <w:p w:rsidR="00916675" w:rsidRPr="00227C94" w:rsidRDefault="00916675" w:rsidP="00AF493A">
            <w:pPr>
              <w:pStyle w:val="tblNumber01"/>
            </w:pPr>
            <w:r w:rsidRPr="00227C94">
              <w:t>32,953</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shd w:val="clear" w:color="auto" w:fill="auto"/>
            <w:vAlign w:val="bottom"/>
          </w:tcPr>
          <w:p w:rsidR="00916675" w:rsidRPr="00227C94" w:rsidRDefault="00916675" w:rsidP="00AF493A">
            <w:pPr>
              <w:pStyle w:val="tblNumber01"/>
              <w:rPr>
                <w:b/>
              </w:rPr>
            </w:pPr>
            <w:r w:rsidRPr="00227C94">
              <w:t>43,311</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rPr>
                <w:b/>
              </w:rPr>
            </w:pPr>
            <w:r w:rsidRPr="00227C94">
              <w:t>34,744</w:t>
            </w:r>
          </w:p>
        </w:tc>
      </w:tr>
      <w:tr w:rsidR="00916675" w:rsidRPr="00227C94" w:rsidTr="00AF493A">
        <w:trPr>
          <w:cantSplit/>
        </w:trPr>
        <w:tc>
          <w:tcPr>
            <w:tcW w:w="4118" w:type="dxa"/>
          </w:tcPr>
          <w:p w:rsidR="00916675" w:rsidRPr="00227C94" w:rsidRDefault="00916675" w:rsidP="00AF493A">
            <w:pPr>
              <w:pStyle w:val="tblText02"/>
            </w:pPr>
            <w:r w:rsidRPr="00227C94">
              <w:t>Bank deposits</w:t>
            </w:r>
          </w:p>
        </w:tc>
        <w:tc>
          <w:tcPr>
            <w:tcW w:w="1417" w:type="dxa"/>
            <w:tcBorders>
              <w:right w:val="nil"/>
            </w:tcBorders>
            <w:shd w:val="clear" w:color="auto" w:fill="auto"/>
            <w:vAlign w:val="bottom"/>
          </w:tcPr>
          <w:p w:rsidR="00916675" w:rsidRPr="00227C94" w:rsidRDefault="00916675" w:rsidP="00AF493A">
            <w:pPr>
              <w:pStyle w:val="tblNumber01"/>
            </w:pPr>
            <w:r w:rsidRPr="00227C94">
              <w:t>19,504</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shd w:val="clear" w:color="auto" w:fill="auto"/>
            <w:vAlign w:val="bottom"/>
          </w:tcPr>
          <w:p w:rsidR="00916675" w:rsidRPr="00227C94" w:rsidRDefault="00916675" w:rsidP="00AF493A">
            <w:pPr>
              <w:pStyle w:val="tblNumber01"/>
            </w:pPr>
            <w:r w:rsidRPr="00227C94">
              <w:t>134,669</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12,175</w:t>
            </w:r>
          </w:p>
        </w:tc>
      </w:tr>
      <w:tr w:rsidR="00916675" w:rsidRPr="00227C94" w:rsidTr="00A701F4">
        <w:trPr>
          <w:cantSplit/>
        </w:trPr>
        <w:tc>
          <w:tcPr>
            <w:tcW w:w="4118" w:type="dxa"/>
          </w:tcPr>
          <w:p w:rsidR="00916675" w:rsidRPr="00227C94" w:rsidRDefault="00916675" w:rsidP="00AF493A">
            <w:pPr>
              <w:pStyle w:val="tblText02"/>
              <w:rPr>
                <w:lang w:val="en-US"/>
              </w:rPr>
            </w:pPr>
            <w:r w:rsidRPr="00227C94">
              <w:rPr>
                <w:lang w:val="en-US"/>
              </w:rPr>
              <w:t>Equity investments in listed companies held for trading</w:t>
            </w:r>
          </w:p>
        </w:tc>
        <w:tc>
          <w:tcPr>
            <w:tcW w:w="1417" w:type="dxa"/>
            <w:tcBorders>
              <w:right w:val="nil"/>
            </w:tcBorders>
            <w:shd w:val="clear" w:color="auto" w:fill="auto"/>
            <w:vAlign w:val="bottom"/>
          </w:tcPr>
          <w:p w:rsidR="00916675" w:rsidRPr="00227C94" w:rsidRDefault="00916675" w:rsidP="00AF493A">
            <w:pPr>
              <w:pStyle w:val="tblNumber01"/>
            </w:pPr>
            <w:r w:rsidRPr="00227C94">
              <w:t>10,659</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shd w:val="clear" w:color="auto" w:fill="auto"/>
            <w:vAlign w:val="bottom"/>
          </w:tcPr>
          <w:p w:rsidR="00916675" w:rsidRPr="00227C94" w:rsidRDefault="00916675" w:rsidP="00AF493A">
            <w:pPr>
              <w:pStyle w:val="tblNumber01"/>
            </w:pPr>
            <w:r w:rsidRPr="00227C94">
              <w:t>33,400</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14,857</w:t>
            </w:r>
          </w:p>
        </w:tc>
      </w:tr>
      <w:tr w:rsidR="00916675" w:rsidRPr="00227C94" w:rsidTr="00A701F4">
        <w:trPr>
          <w:cantSplit/>
        </w:trPr>
        <w:tc>
          <w:tcPr>
            <w:tcW w:w="4118" w:type="dxa"/>
          </w:tcPr>
          <w:p w:rsidR="00916675" w:rsidRPr="00227C94" w:rsidRDefault="00916675" w:rsidP="00AF493A">
            <w:pPr>
              <w:pStyle w:val="tblText02"/>
            </w:pPr>
            <w:r w:rsidRPr="00227C94">
              <w:t>Other</w:t>
            </w:r>
          </w:p>
        </w:tc>
        <w:tc>
          <w:tcPr>
            <w:tcW w:w="1417" w:type="dxa"/>
            <w:tcBorders>
              <w:bottom w:val="single" w:sz="6" w:space="0" w:color="auto"/>
              <w:right w:val="nil"/>
            </w:tcBorders>
            <w:shd w:val="clear" w:color="auto" w:fill="auto"/>
            <w:vAlign w:val="bottom"/>
          </w:tcPr>
          <w:p w:rsidR="00916675" w:rsidRPr="00227C94" w:rsidRDefault="00916675" w:rsidP="00AF493A">
            <w:pPr>
              <w:pStyle w:val="tblNumber01"/>
            </w:pPr>
            <w:r w:rsidRPr="00227C94">
              <w:t>591</w:t>
            </w:r>
          </w:p>
        </w:tc>
        <w:tc>
          <w:tcPr>
            <w:tcW w:w="283" w:type="dxa"/>
            <w:tcBorders>
              <w:right w:val="nil"/>
            </w:tcBorders>
            <w:vAlign w:val="bottom"/>
          </w:tcPr>
          <w:p w:rsidR="00916675" w:rsidRPr="00227C94" w:rsidRDefault="00916675" w:rsidP="00AF493A">
            <w:pPr>
              <w:pStyle w:val="tblNumber01"/>
            </w:pPr>
          </w:p>
        </w:tc>
        <w:tc>
          <w:tcPr>
            <w:tcW w:w="1417" w:type="dxa"/>
            <w:tcBorders>
              <w:left w:val="nil"/>
              <w:bottom w:val="single" w:sz="6" w:space="0" w:color="auto"/>
            </w:tcBorders>
            <w:shd w:val="clear" w:color="auto" w:fill="auto"/>
            <w:vAlign w:val="bottom"/>
          </w:tcPr>
          <w:p w:rsidR="00916675" w:rsidRPr="00227C94" w:rsidRDefault="00916675" w:rsidP="00AF493A">
            <w:pPr>
              <w:pStyle w:val="tblNumber01"/>
            </w:pPr>
            <w:r w:rsidRPr="00227C94">
              <w:t>1,686</w:t>
            </w:r>
          </w:p>
        </w:tc>
        <w:tc>
          <w:tcPr>
            <w:tcW w:w="283" w:type="dxa"/>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01"/>
            </w:pPr>
            <w:r w:rsidRPr="00227C94">
              <w:t>1,692</w:t>
            </w:r>
          </w:p>
        </w:tc>
      </w:tr>
      <w:tr w:rsidR="00916675" w:rsidRPr="00227C94" w:rsidTr="00A701F4">
        <w:trPr>
          <w:cantSplit/>
        </w:trPr>
        <w:tc>
          <w:tcPr>
            <w:tcW w:w="4118" w:type="dxa"/>
          </w:tcPr>
          <w:p w:rsidR="00916675" w:rsidRPr="00227C94" w:rsidRDefault="00916675" w:rsidP="00AF493A">
            <w:pPr>
              <w:pStyle w:val="tblText02"/>
            </w:pPr>
          </w:p>
        </w:tc>
        <w:tc>
          <w:tcPr>
            <w:tcW w:w="1417" w:type="dxa"/>
            <w:tcBorders>
              <w:top w:val="single" w:sz="6" w:space="0" w:color="auto"/>
              <w:right w:val="nil"/>
            </w:tcBorders>
            <w:shd w:val="clear" w:color="auto" w:fill="auto"/>
            <w:vAlign w:val="bottom"/>
          </w:tcPr>
          <w:p w:rsidR="00916675" w:rsidRPr="00227C94" w:rsidRDefault="00916675" w:rsidP="00AF493A">
            <w:pPr>
              <w:pStyle w:val="tblNumber01"/>
            </w:pPr>
          </w:p>
        </w:tc>
        <w:tc>
          <w:tcPr>
            <w:tcW w:w="283" w:type="dxa"/>
            <w:tcBorders>
              <w:righ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r>
      <w:tr w:rsidR="00916675" w:rsidRPr="00227C94" w:rsidTr="00AF493A">
        <w:trPr>
          <w:cantSplit/>
        </w:trPr>
        <w:tc>
          <w:tcPr>
            <w:tcW w:w="4118" w:type="dxa"/>
          </w:tcPr>
          <w:p w:rsidR="00916675" w:rsidRPr="00227C94" w:rsidRDefault="00916675" w:rsidP="00AF493A">
            <w:pPr>
              <w:pStyle w:val="tblText02"/>
              <w:rPr>
                <w:b/>
              </w:rPr>
            </w:pPr>
            <w:r w:rsidRPr="00227C94">
              <w:rPr>
                <w:b/>
              </w:rPr>
              <w:t>Total</w:t>
            </w:r>
          </w:p>
        </w:tc>
        <w:tc>
          <w:tcPr>
            <w:tcW w:w="1417" w:type="dxa"/>
            <w:tcBorders>
              <w:bottom w:val="double" w:sz="6" w:space="0" w:color="auto"/>
              <w:right w:val="nil"/>
            </w:tcBorders>
            <w:shd w:val="clear" w:color="auto" w:fill="auto"/>
            <w:vAlign w:val="bottom"/>
          </w:tcPr>
          <w:p w:rsidR="00916675" w:rsidRPr="00227C94" w:rsidRDefault="00916675" w:rsidP="00AF493A">
            <w:pPr>
              <w:pStyle w:val="tblNumber01"/>
              <w:rPr>
                <w:b/>
              </w:rPr>
            </w:pPr>
            <w:r w:rsidRPr="00227C94">
              <w:rPr>
                <w:b/>
              </w:rPr>
              <w:t>63,707</w:t>
            </w:r>
          </w:p>
        </w:tc>
        <w:tc>
          <w:tcPr>
            <w:tcW w:w="283" w:type="dxa"/>
            <w:tcBorders>
              <w:right w:val="nil"/>
            </w:tcBorders>
            <w:vAlign w:val="bottom"/>
          </w:tcPr>
          <w:p w:rsidR="00916675" w:rsidRPr="00227C94" w:rsidRDefault="00916675" w:rsidP="00AF493A">
            <w:pPr>
              <w:pStyle w:val="tblNumber01"/>
            </w:pPr>
          </w:p>
        </w:tc>
        <w:tc>
          <w:tcPr>
            <w:tcW w:w="1417" w:type="dxa"/>
            <w:tcBorders>
              <w:left w:val="nil"/>
              <w:bottom w:val="double" w:sz="6" w:space="0" w:color="auto"/>
            </w:tcBorders>
            <w:shd w:val="clear" w:color="auto" w:fill="auto"/>
            <w:vAlign w:val="bottom"/>
          </w:tcPr>
          <w:p w:rsidR="00916675" w:rsidRPr="00227C94" w:rsidRDefault="00916675" w:rsidP="00AF493A">
            <w:pPr>
              <w:pStyle w:val="tblNumber01"/>
              <w:rPr>
                <w:b/>
              </w:rPr>
            </w:pPr>
            <w:r w:rsidRPr="00227C94">
              <w:rPr>
                <w:b/>
              </w:rPr>
              <w:t>213,066</w:t>
            </w:r>
          </w:p>
        </w:tc>
        <w:tc>
          <w:tcPr>
            <w:tcW w:w="283" w:type="dxa"/>
            <w:vAlign w:val="bottom"/>
          </w:tcPr>
          <w:p w:rsidR="00916675" w:rsidRPr="00227C94" w:rsidRDefault="00916675" w:rsidP="00AF493A">
            <w:pPr>
              <w:pStyle w:val="tblNumber01"/>
            </w:pPr>
          </w:p>
        </w:tc>
        <w:tc>
          <w:tcPr>
            <w:tcW w:w="1417" w:type="dxa"/>
            <w:tcBorders>
              <w:bottom w:val="double" w:sz="6" w:space="0" w:color="auto"/>
            </w:tcBorders>
            <w:shd w:val="clear" w:color="auto" w:fill="auto"/>
            <w:vAlign w:val="bottom"/>
          </w:tcPr>
          <w:p w:rsidR="00916675" w:rsidRPr="00227C94" w:rsidRDefault="00916675" w:rsidP="00AF493A">
            <w:pPr>
              <w:pStyle w:val="tblNumber01"/>
              <w:rPr>
                <w:b/>
              </w:rPr>
            </w:pPr>
            <w:r w:rsidRPr="00227C94">
              <w:rPr>
                <w:b/>
              </w:rPr>
              <w:t>63,468</w:t>
            </w:r>
          </w:p>
        </w:tc>
      </w:tr>
    </w:tbl>
    <w:p w:rsidR="00916675" w:rsidRPr="00227C94" w:rsidRDefault="00916675" w:rsidP="00AF493A">
      <w:pPr>
        <w:pStyle w:val="23"/>
        <w:rPr>
          <w:color w:val="auto"/>
          <w:lang w:val="en-US"/>
        </w:rPr>
      </w:pPr>
    </w:p>
    <w:p w:rsidR="00AF493A" w:rsidRPr="00227C94" w:rsidRDefault="00AF493A" w:rsidP="00AF493A">
      <w:pPr>
        <w:pStyle w:val="23"/>
        <w:rPr>
          <w:color w:val="auto"/>
          <w:lang w:val="en-US"/>
        </w:rPr>
      </w:pPr>
    </w:p>
    <w:p w:rsidR="00916675" w:rsidRPr="00227C94" w:rsidRDefault="00916675" w:rsidP="00AF493A">
      <w:pPr>
        <w:pStyle w:val="22"/>
        <w:rPr>
          <w:lang w:val="en-US"/>
        </w:rPr>
      </w:pPr>
      <w:r w:rsidRPr="00227C94">
        <w:rPr>
          <w:lang w:val="en-US"/>
        </w:rPr>
        <w:t>AFS investments, carried at fair value</w:t>
      </w:r>
    </w:p>
    <w:p w:rsidR="00916675" w:rsidRPr="00227C94" w:rsidRDefault="00916675" w:rsidP="00AF493A">
      <w:pPr>
        <w:pStyle w:val="23"/>
        <w:rPr>
          <w:color w:val="auto"/>
          <w:lang w:val="en-US"/>
        </w:rPr>
      </w:pPr>
    </w:p>
    <w:p w:rsidR="00916675" w:rsidRPr="00227C94" w:rsidRDefault="00916675" w:rsidP="00AF493A">
      <w:pPr>
        <w:pStyle w:val="23"/>
        <w:rPr>
          <w:color w:val="auto"/>
          <w:lang w:val="en-US"/>
        </w:rPr>
      </w:pPr>
      <w:r w:rsidRPr="00227C94">
        <w:rPr>
          <w:color w:val="auto"/>
          <w:lang w:val="en-US"/>
        </w:rPr>
        <w:t>At 30 June 2012 and 2011 and at 31 December 2011 AFS equity investments primarily comprised shares owned in Rosfund, SPC (Cayman Islands) acquired in July 2006.</w:t>
      </w:r>
    </w:p>
    <w:p w:rsidR="00916675" w:rsidRPr="00227C94" w:rsidRDefault="00916675" w:rsidP="00AF493A">
      <w:pPr>
        <w:pStyle w:val="23"/>
        <w:rPr>
          <w:color w:val="auto"/>
          <w:lang w:val="en-US"/>
        </w:rPr>
      </w:pPr>
    </w:p>
    <w:p w:rsidR="00916675" w:rsidRPr="00227C94" w:rsidRDefault="00916675" w:rsidP="00AF493A">
      <w:pPr>
        <w:pStyle w:val="23"/>
        <w:rPr>
          <w:color w:val="auto"/>
          <w:lang w:val="en-US"/>
        </w:rPr>
      </w:pPr>
      <w:r w:rsidRPr="00227C94">
        <w:rPr>
          <w:color w:val="auto"/>
          <w:spacing w:val="-2"/>
          <w:lang w:val="en-US"/>
        </w:rPr>
        <w:t>Rosfund, SPC invests in securities and other financial assets (</w:t>
      </w:r>
      <w:r w:rsidRPr="00227C94">
        <w:rPr>
          <w:color w:val="auto"/>
          <w:lang w:val="en-US"/>
        </w:rPr>
        <w:t>equity investments in listed companies, bonds and depositary receipts).</w:t>
      </w:r>
    </w:p>
    <w:p w:rsidR="00916675" w:rsidRPr="00227C94" w:rsidRDefault="00916675" w:rsidP="00AF493A">
      <w:pPr>
        <w:pStyle w:val="23"/>
        <w:rPr>
          <w:color w:val="auto"/>
          <w:lang w:val="en-US"/>
        </w:rPr>
      </w:pPr>
    </w:p>
    <w:p w:rsidR="00916675" w:rsidRPr="00227C94" w:rsidRDefault="00916675" w:rsidP="00AF493A">
      <w:pPr>
        <w:pStyle w:val="22"/>
      </w:pPr>
      <w:r w:rsidRPr="00227C94">
        <w:t>Bank deposits</w:t>
      </w:r>
    </w:p>
    <w:p w:rsidR="00916675" w:rsidRPr="00227C94" w:rsidRDefault="00916675" w:rsidP="00AF493A">
      <w:pPr>
        <w:pStyle w:val="23"/>
        <w:rPr>
          <w:color w:val="auto"/>
        </w:rPr>
      </w:pPr>
    </w:p>
    <w:p w:rsidR="00916675" w:rsidRPr="00227C94" w:rsidRDefault="00916675" w:rsidP="00AF493A">
      <w:pPr>
        <w:pStyle w:val="23"/>
        <w:rPr>
          <w:color w:val="auto"/>
          <w:lang w:val="en-US"/>
        </w:rPr>
      </w:pPr>
      <w:r w:rsidRPr="00227C94">
        <w:rPr>
          <w:color w:val="auto"/>
          <w:spacing w:val="-2"/>
          <w:lang w:val="en-US"/>
        </w:rPr>
        <w:t xml:space="preserve">Bank deposits at 6.66-9.00% (30 June 2011: 2.14-5.75%, 31 December 2011: 2.14-8.05%) per annum </w:t>
      </w:r>
      <w:r w:rsidRPr="00227C94">
        <w:rPr>
          <w:color w:val="auto"/>
          <w:lang w:val="en-US"/>
        </w:rPr>
        <w:t>are denominated in RUB with a maturity date at the end of September 2012.</w:t>
      </w:r>
    </w:p>
    <w:p w:rsidR="00916675" w:rsidRPr="00227C94" w:rsidRDefault="00916675" w:rsidP="00AF493A">
      <w:pPr>
        <w:pStyle w:val="23"/>
        <w:rPr>
          <w:color w:val="auto"/>
          <w:highlight w:val="yellow"/>
          <w:lang w:val="en-US"/>
        </w:rPr>
      </w:pPr>
    </w:p>
    <w:p w:rsidR="00916675" w:rsidRPr="00227C94" w:rsidRDefault="00916675" w:rsidP="00AF493A">
      <w:pPr>
        <w:pStyle w:val="23"/>
        <w:rPr>
          <w:color w:val="auto"/>
          <w:lang w:val="en-US"/>
        </w:rPr>
      </w:pPr>
    </w:p>
    <w:p w:rsidR="00916675" w:rsidRPr="00227C94" w:rsidRDefault="00916675" w:rsidP="00AF493A">
      <w:pPr>
        <w:pStyle w:val="1"/>
        <w:rPr>
          <w:lang w:val="en-US"/>
        </w:rPr>
      </w:pPr>
      <w:r w:rsidRPr="00227C94">
        <w:t>INVENTORIES</w:t>
      </w:r>
    </w:p>
    <w:p w:rsidR="00AF493A" w:rsidRPr="00227C94" w:rsidRDefault="00AF493A" w:rsidP="00AF493A">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AF493A">
            <w:pPr>
              <w:pStyle w:val="tblHeaderText"/>
              <w:jc w:val="left"/>
            </w:pPr>
          </w:p>
        </w:tc>
        <w:tc>
          <w:tcPr>
            <w:tcW w:w="1417" w:type="dxa"/>
            <w:tcBorders>
              <w:bottom w:val="single" w:sz="6" w:space="0" w:color="auto"/>
            </w:tcBorders>
            <w:shd w:val="clear" w:color="auto" w:fill="auto"/>
            <w:vAlign w:val="bottom"/>
          </w:tcPr>
          <w:p w:rsidR="00916675" w:rsidRPr="00227C94" w:rsidRDefault="00916675" w:rsidP="00AF493A">
            <w:pPr>
              <w:pStyle w:val="tblHeaderText"/>
            </w:pPr>
            <w:r w:rsidRPr="00227C94">
              <w:t>30 June</w:t>
            </w:r>
          </w:p>
          <w:p w:rsidR="00916675" w:rsidRPr="00227C94" w:rsidRDefault="00916675" w:rsidP="00AF493A">
            <w:pPr>
              <w:pStyle w:val="tblHeaderText"/>
            </w:pPr>
            <w:r w:rsidRPr="00227C94">
              <w:t>2012</w:t>
            </w:r>
          </w:p>
        </w:tc>
        <w:tc>
          <w:tcPr>
            <w:tcW w:w="283" w:type="dxa"/>
            <w:tcBorders>
              <w:right w:val="nil"/>
            </w:tcBorders>
            <w:shd w:val="clear" w:color="auto" w:fill="auto"/>
          </w:tcPr>
          <w:p w:rsidR="00916675" w:rsidRPr="00227C94" w:rsidRDefault="00916675" w:rsidP="00AF493A">
            <w:pPr>
              <w:pStyle w:val="tblHeaderText"/>
            </w:pPr>
          </w:p>
        </w:tc>
        <w:tc>
          <w:tcPr>
            <w:tcW w:w="1417" w:type="dxa"/>
            <w:tcBorders>
              <w:left w:val="nil"/>
              <w:bottom w:val="single" w:sz="6" w:space="0" w:color="auto"/>
            </w:tcBorders>
            <w:shd w:val="clear" w:color="auto" w:fill="auto"/>
            <w:vAlign w:val="bottom"/>
          </w:tcPr>
          <w:p w:rsidR="00916675" w:rsidRPr="00227C94" w:rsidRDefault="00916675" w:rsidP="00AF493A">
            <w:pPr>
              <w:pStyle w:val="tblHeaderText"/>
            </w:pPr>
            <w:r w:rsidRPr="00227C94">
              <w:t>30 June</w:t>
            </w:r>
          </w:p>
          <w:p w:rsidR="00916675" w:rsidRPr="00227C94" w:rsidRDefault="00916675" w:rsidP="00AF493A">
            <w:pPr>
              <w:pStyle w:val="tblHeaderText"/>
            </w:pPr>
            <w:r w:rsidRPr="00227C94">
              <w:t>2011</w:t>
            </w:r>
          </w:p>
        </w:tc>
        <w:tc>
          <w:tcPr>
            <w:tcW w:w="283" w:type="dxa"/>
            <w:tcBorders>
              <w:left w:val="nil"/>
            </w:tcBorders>
            <w:shd w:val="clear" w:color="auto" w:fill="auto"/>
          </w:tcPr>
          <w:p w:rsidR="00916675" w:rsidRPr="00227C94" w:rsidRDefault="00916675" w:rsidP="00AF493A">
            <w:pPr>
              <w:pStyle w:val="tblHeaderText"/>
            </w:pPr>
          </w:p>
        </w:tc>
        <w:tc>
          <w:tcPr>
            <w:tcW w:w="1417" w:type="dxa"/>
            <w:tcBorders>
              <w:left w:val="nil"/>
              <w:bottom w:val="single" w:sz="6" w:space="0" w:color="auto"/>
              <w:right w:val="nil"/>
            </w:tcBorders>
            <w:shd w:val="clear" w:color="auto" w:fill="auto"/>
          </w:tcPr>
          <w:p w:rsidR="00916675" w:rsidRPr="00227C94" w:rsidRDefault="00916675" w:rsidP="00AF493A">
            <w:pPr>
              <w:pStyle w:val="tblHeaderText"/>
            </w:pPr>
            <w:r w:rsidRPr="00227C94">
              <w:t>31 December 2011</w:t>
            </w:r>
          </w:p>
        </w:tc>
      </w:tr>
      <w:tr w:rsidR="00916675" w:rsidRPr="00227C94" w:rsidTr="00AF493A">
        <w:trPr>
          <w:cantSplit/>
        </w:trPr>
        <w:tc>
          <w:tcPr>
            <w:tcW w:w="4118" w:type="dxa"/>
          </w:tcPr>
          <w:p w:rsidR="00916675" w:rsidRPr="00227C94" w:rsidRDefault="00916675" w:rsidP="00AF493A">
            <w:pPr>
              <w:pStyle w:val="tblText02"/>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tcBorders>
              <w:righ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c>
          <w:tcPr>
            <w:tcW w:w="283" w:type="dxa"/>
            <w:tcBorders>
              <w:left w:val="nil"/>
            </w:tcBorders>
            <w:vAlign w:val="bottom"/>
          </w:tcPr>
          <w:p w:rsidR="00916675" w:rsidRPr="00227C94" w:rsidRDefault="00916675" w:rsidP="00AF493A">
            <w:pPr>
              <w:pStyle w:val="tblNumber01"/>
            </w:pPr>
          </w:p>
        </w:tc>
        <w:tc>
          <w:tcPr>
            <w:tcW w:w="1417" w:type="dxa"/>
            <w:tcBorders>
              <w:top w:val="single" w:sz="6" w:space="0" w:color="auto"/>
              <w:left w:val="nil"/>
              <w:right w:val="nil"/>
            </w:tcBorders>
            <w:shd w:val="clear" w:color="auto" w:fill="auto"/>
            <w:vAlign w:val="bottom"/>
          </w:tcPr>
          <w:p w:rsidR="00916675" w:rsidRPr="00227C94" w:rsidRDefault="00916675" w:rsidP="00AF493A">
            <w:pPr>
              <w:pStyle w:val="tblNumber01"/>
            </w:pPr>
          </w:p>
        </w:tc>
      </w:tr>
      <w:tr w:rsidR="00916675" w:rsidRPr="00227C94" w:rsidTr="00A701F4">
        <w:trPr>
          <w:cantSplit/>
        </w:trPr>
        <w:tc>
          <w:tcPr>
            <w:tcW w:w="4118" w:type="dxa"/>
          </w:tcPr>
          <w:p w:rsidR="00916675" w:rsidRPr="00227C94" w:rsidRDefault="00916675" w:rsidP="00AF493A">
            <w:pPr>
              <w:pStyle w:val="tblText02"/>
              <w:rPr>
                <w:b/>
                <w:lang w:val="en-US"/>
              </w:rPr>
            </w:pPr>
            <w:r w:rsidRPr="00227C94">
              <w:rPr>
                <w:b/>
                <w:lang w:val="en-US"/>
              </w:rPr>
              <w:t>Inventories expected to be recovered after twelve months</w:t>
            </w:r>
          </w:p>
        </w:tc>
        <w:tc>
          <w:tcPr>
            <w:tcW w:w="1417" w:type="dxa"/>
            <w:vAlign w:val="bottom"/>
          </w:tcPr>
          <w:p w:rsidR="00916675" w:rsidRPr="00227C94" w:rsidRDefault="00916675" w:rsidP="00AF493A">
            <w:pPr>
              <w:pStyle w:val="tblNumber01"/>
              <w:rPr>
                <w:lang w:val="en-US"/>
              </w:rPr>
            </w:pPr>
          </w:p>
        </w:tc>
        <w:tc>
          <w:tcPr>
            <w:tcW w:w="283" w:type="dxa"/>
            <w:tcBorders>
              <w:right w:val="nil"/>
            </w:tcBorders>
            <w:vAlign w:val="bottom"/>
          </w:tcPr>
          <w:p w:rsidR="00916675" w:rsidRPr="00227C94" w:rsidRDefault="00916675" w:rsidP="00AF493A">
            <w:pPr>
              <w:pStyle w:val="tblNumber01"/>
              <w:rPr>
                <w:lang w:val="en-US"/>
              </w:rPr>
            </w:pPr>
          </w:p>
        </w:tc>
        <w:tc>
          <w:tcPr>
            <w:tcW w:w="1417" w:type="dxa"/>
            <w:tcBorders>
              <w:left w:val="nil"/>
            </w:tcBorders>
            <w:vAlign w:val="bottom"/>
          </w:tcPr>
          <w:p w:rsidR="00916675" w:rsidRPr="00227C94" w:rsidRDefault="00916675" w:rsidP="00AF493A">
            <w:pPr>
              <w:pStyle w:val="tblNumber01"/>
              <w:rPr>
                <w:lang w:val="en-US"/>
              </w:rPr>
            </w:pPr>
          </w:p>
        </w:tc>
        <w:tc>
          <w:tcPr>
            <w:tcW w:w="283" w:type="dxa"/>
            <w:tcBorders>
              <w:left w:val="nil"/>
            </w:tcBorders>
            <w:vAlign w:val="bottom"/>
          </w:tcPr>
          <w:p w:rsidR="00916675" w:rsidRPr="00227C94" w:rsidRDefault="00916675" w:rsidP="00AF493A">
            <w:pPr>
              <w:pStyle w:val="tblNumber01"/>
              <w:rPr>
                <w:lang w:val="en-US"/>
              </w:rPr>
            </w:pPr>
          </w:p>
        </w:tc>
        <w:tc>
          <w:tcPr>
            <w:tcW w:w="1417" w:type="dxa"/>
            <w:tcBorders>
              <w:left w:val="nil"/>
              <w:right w:val="nil"/>
            </w:tcBorders>
            <w:vAlign w:val="bottom"/>
          </w:tcPr>
          <w:p w:rsidR="00916675" w:rsidRPr="00227C94" w:rsidRDefault="00916675" w:rsidP="00AF493A">
            <w:pPr>
              <w:pStyle w:val="tblNumber01"/>
              <w:rPr>
                <w:lang w:val="en-US"/>
              </w:rPr>
            </w:pPr>
          </w:p>
        </w:tc>
      </w:tr>
      <w:tr w:rsidR="00916675" w:rsidRPr="00227C94" w:rsidTr="00A701F4">
        <w:trPr>
          <w:cantSplit/>
        </w:trPr>
        <w:tc>
          <w:tcPr>
            <w:tcW w:w="4118" w:type="dxa"/>
          </w:tcPr>
          <w:p w:rsidR="00916675" w:rsidRPr="00227C94" w:rsidRDefault="00916675" w:rsidP="00AF493A">
            <w:pPr>
              <w:pStyle w:val="tblText02"/>
            </w:pPr>
            <w:r w:rsidRPr="00227C94">
              <w:t>Stockpiles</w:t>
            </w:r>
          </w:p>
        </w:tc>
        <w:tc>
          <w:tcPr>
            <w:tcW w:w="1417" w:type="dxa"/>
            <w:tcBorders>
              <w:bottom w:val="single" w:sz="6" w:space="0" w:color="auto"/>
            </w:tcBorders>
            <w:shd w:val="clear" w:color="auto" w:fill="auto"/>
            <w:vAlign w:val="bottom"/>
          </w:tcPr>
          <w:p w:rsidR="00916675" w:rsidRPr="00227C94" w:rsidRDefault="00916675" w:rsidP="00AF493A">
            <w:pPr>
              <w:pStyle w:val="tblNumber01"/>
            </w:pPr>
            <w:r w:rsidRPr="00227C94">
              <w:t>220,360</w:t>
            </w:r>
          </w:p>
        </w:tc>
        <w:tc>
          <w:tcPr>
            <w:tcW w:w="283" w:type="dxa"/>
            <w:tcBorders>
              <w:right w:val="nil"/>
            </w:tcBorders>
            <w:vAlign w:val="bottom"/>
          </w:tcPr>
          <w:p w:rsidR="00916675" w:rsidRPr="00227C94" w:rsidRDefault="00916675" w:rsidP="00AF493A">
            <w:pPr>
              <w:pStyle w:val="tblNumber01"/>
            </w:pPr>
          </w:p>
        </w:tc>
        <w:tc>
          <w:tcPr>
            <w:tcW w:w="1417" w:type="dxa"/>
            <w:tcBorders>
              <w:left w:val="nil"/>
              <w:bottom w:val="single" w:sz="6" w:space="0" w:color="auto"/>
            </w:tcBorders>
            <w:shd w:val="clear" w:color="auto" w:fill="auto"/>
            <w:vAlign w:val="bottom"/>
          </w:tcPr>
          <w:p w:rsidR="00916675" w:rsidRPr="00227C94" w:rsidRDefault="00916675" w:rsidP="00AF493A">
            <w:pPr>
              <w:pStyle w:val="tblNumber01"/>
            </w:pPr>
            <w:r w:rsidRPr="00227C94">
              <w:t>187,559</w:t>
            </w:r>
          </w:p>
        </w:tc>
        <w:tc>
          <w:tcPr>
            <w:tcW w:w="283" w:type="dxa"/>
            <w:tcBorders>
              <w:left w:val="nil"/>
            </w:tcBorders>
            <w:vAlign w:val="bottom"/>
          </w:tcPr>
          <w:p w:rsidR="00916675" w:rsidRPr="00227C94" w:rsidRDefault="00916675" w:rsidP="00AF493A">
            <w:pPr>
              <w:pStyle w:val="tblNumber01"/>
            </w:pPr>
          </w:p>
        </w:tc>
        <w:tc>
          <w:tcPr>
            <w:tcW w:w="1417" w:type="dxa"/>
            <w:tcBorders>
              <w:left w:val="nil"/>
              <w:bottom w:val="single" w:sz="6" w:space="0" w:color="auto"/>
              <w:right w:val="nil"/>
            </w:tcBorders>
            <w:shd w:val="clear" w:color="auto" w:fill="auto"/>
            <w:vAlign w:val="bottom"/>
          </w:tcPr>
          <w:p w:rsidR="00916675" w:rsidRPr="00227C94" w:rsidRDefault="00916675" w:rsidP="00AF493A">
            <w:pPr>
              <w:pStyle w:val="tblNumber01"/>
            </w:pPr>
            <w:r w:rsidRPr="00227C94">
              <w:t>207,789</w:t>
            </w:r>
          </w:p>
        </w:tc>
      </w:tr>
      <w:tr w:rsidR="00916675" w:rsidRPr="00227C94" w:rsidTr="00A701F4">
        <w:trPr>
          <w:cantSplit/>
        </w:trPr>
        <w:tc>
          <w:tcPr>
            <w:tcW w:w="4118" w:type="dxa"/>
          </w:tcPr>
          <w:p w:rsidR="00916675" w:rsidRPr="00227C94" w:rsidRDefault="00916675" w:rsidP="00AF493A">
            <w:pPr>
              <w:pStyle w:val="tblText02"/>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tcBorders>
              <w:righ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c>
          <w:tcPr>
            <w:tcW w:w="283" w:type="dxa"/>
            <w:tcBorders>
              <w:left w:val="nil"/>
            </w:tcBorders>
            <w:vAlign w:val="bottom"/>
          </w:tcPr>
          <w:p w:rsidR="00916675" w:rsidRPr="00227C94" w:rsidRDefault="00916675" w:rsidP="00AF493A">
            <w:pPr>
              <w:pStyle w:val="tblNumber01"/>
            </w:pPr>
          </w:p>
        </w:tc>
        <w:tc>
          <w:tcPr>
            <w:tcW w:w="1417" w:type="dxa"/>
            <w:tcBorders>
              <w:top w:val="single" w:sz="6" w:space="0" w:color="auto"/>
              <w:left w:val="nil"/>
              <w:right w:val="nil"/>
            </w:tcBorders>
            <w:shd w:val="clear" w:color="auto" w:fill="auto"/>
            <w:vAlign w:val="bottom"/>
          </w:tcPr>
          <w:p w:rsidR="00916675" w:rsidRPr="00227C94" w:rsidRDefault="00916675" w:rsidP="00AF493A">
            <w:pPr>
              <w:pStyle w:val="tblNumber01"/>
            </w:pPr>
          </w:p>
        </w:tc>
      </w:tr>
      <w:tr w:rsidR="00916675" w:rsidRPr="00227C94" w:rsidTr="00A701F4">
        <w:trPr>
          <w:cantSplit/>
        </w:trPr>
        <w:tc>
          <w:tcPr>
            <w:tcW w:w="4118" w:type="dxa"/>
          </w:tcPr>
          <w:p w:rsidR="00916675" w:rsidRPr="00227C94" w:rsidRDefault="00916675" w:rsidP="00AF493A">
            <w:pPr>
              <w:pStyle w:val="tblText02"/>
              <w:rPr>
                <w:b/>
              </w:rPr>
            </w:pPr>
            <w:r w:rsidRPr="00227C94">
              <w:rPr>
                <w:b/>
              </w:rPr>
              <w:t>Total</w:t>
            </w:r>
          </w:p>
        </w:tc>
        <w:tc>
          <w:tcPr>
            <w:tcW w:w="1417" w:type="dxa"/>
            <w:tcBorders>
              <w:bottom w:val="double" w:sz="6" w:space="0" w:color="auto"/>
            </w:tcBorders>
            <w:shd w:val="clear" w:color="auto" w:fill="auto"/>
            <w:vAlign w:val="bottom"/>
          </w:tcPr>
          <w:p w:rsidR="00916675" w:rsidRPr="00227C94" w:rsidRDefault="00916675" w:rsidP="00AF493A">
            <w:pPr>
              <w:pStyle w:val="tblNumber01"/>
              <w:rPr>
                <w:b/>
              </w:rPr>
            </w:pPr>
            <w:r w:rsidRPr="00227C94">
              <w:rPr>
                <w:b/>
              </w:rPr>
              <w:t>220,360</w:t>
            </w:r>
          </w:p>
        </w:tc>
        <w:tc>
          <w:tcPr>
            <w:tcW w:w="283" w:type="dxa"/>
            <w:tcBorders>
              <w:right w:val="nil"/>
            </w:tcBorders>
            <w:vAlign w:val="bottom"/>
          </w:tcPr>
          <w:p w:rsidR="00916675" w:rsidRPr="00227C94" w:rsidRDefault="00916675" w:rsidP="00AF493A">
            <w:pPr>
              <w:pStyle w:val="tblNumber01"/>
            </w:pPr>
          </w:p>
        </w:tc>
        <w:tc>
          <w:tcPr>
            <w:tcW w:w="1417" w:type="dxa"/>
            <w:tcBorders>
              <w:left w:val="nil"/>
              <w:bottom w:val="double" w:sz="6" w:space="0" w:color="auto"/>
            </w:tcBorders>
            <w:shd w:val="clear" w:color="auto" w:fill="auto"/>
            <w:vAlign w:val="bottom"/>
          </w:tcPr>
          <w:p w:rsidR="00916675" w:rsidRPr="00227C94" w:rsidRDefault="00916675" w:rsidP="00AF493A">
            <w:pPr>
              <w:pStyle w:val="tblNumber01"/>
              <w:rPr>
                <w:b/>
              </w:rPr>
            </w:pPr>
            <w:r w:rsidRPr="00227C94">
              <w:rPr>
                <w:b/>
              </w:rPr>
              <w:t>187,559</w:t>
            </w:r>
          </w:p>
        </w:tc>
        <w:tc>
          <w:tcPr>
            <w:tcW w:w="283" w:type="dxa"/>
            <w:tcBorders>
              <w:left w:val="nil"/>
            </w:tcBorders>
            <w:vAlign w:val="bottom"/>
          </w:tcPr>
          <w:p w:rsidR="00916675" w:rsidRPr="00227C94" w:rsidRDefault="00916675" w:rsidP="00AF493A">
            <w:pPr>
              <w:pStyle w:val="tblNumber01"/>
            </w:pPr>
          </w:p>
        </w:tc>
        <w:tc>
          <w:tcPr>
            <w:tcW w:w="1417" w:type="dxa"/>
            <w:tcBorders>
              <w:left w:val="nil"/>
              <w:bottom w:val="double" w:sz="6" w:space="0" w:color="auto"/>
              <w:right w:val="nil"/>
            </w:tcBorders>
            <w:shd w:val="clear" w:color="auto" w:fill="auto"/>
            <w:vAlign w:val="bottom"/>
          </w:tcPr>
          <w:p w:rsidR="00916675" w:rsidRPr="00227C94" w:rsidRDefault="00916675" w:rsidP="00AF493A">
            <w:pPr>
              <w:pStyle w:val="tblNumber01"/>
              <w:rPr>
                <w:b/>
              </w:rPr>
            </w:pPr>
            <w:r w:rsidRPr="00227C94">
              <w:rPr>
                <w:b/>
              </w:rPr>
              <w:t>207,789</w:t>
            </w:r>
          </w:p>
        </w:tc>
      </w:tr>
      <w:tr w:rsidR="00916675" w:rsidRPr="00227C94" w:rsidTr="00AF493A">
        <w:trPr>
          <w:cantSplit/>
        </w:trPr>
        <w:tc>
          <w:tcPr>
            <w:tcW w:w="4118" w:type="dxa"/>
          </w:tcPr>
          <w:p w:rsidR="00916675" w:rsidRPr="00227C94" w:rsidRDefault="00916675" w:rsidP="00AF493A">
            <w:pPr>
              <w:pStyle w:val="tblText02"/>
            </w:pPr>
          </w:p>
        </w:tc>
        <w:tc>
          <w:tcPr>
            <w:tcW w:w="1417" w:type="dxa"/>
            <w:tcBorders>
              <w:top w:val="double" w:sz="6" w:space="0" w:color="auto"/>
            </w:tcBorders>
            <w:shd w:val="clear" w:color="auto" w:fill="auto"/>
            <w:vAlign w:val="bottom"/>
          </w:tcPr>
          <w:p w:rsidR="00916675" w:rsidRPr="00227C94" w:rsidRDefault="00916675" w:rsidP="00AF493A">
            <w:pPr>
              <w:pStyle w:val="tblNumber01"/>
            </w:pPr>
          </w:p>
        </w:tc>
        <w:tc>
          <w:tcPr>
            <w:tcW w:w="283" w:type="dxa"/>
            <w:tcBorders>
              <w:right w:val="nil"/>
            </w:tcBorders>
            <w:vAlign w:val="bottom"/>
          </w:tcPr>
          <w:p w:rsidR="00916675" w:rsidRPr="00227C94" w:rsidRDefault="00916675" w:rsidP="00AF493A">
            <w:pPr>
              <w:pStyle w:val="tblNumber01"/>
            </w:pPr>
          </w:p>
        </w:tc>
        <w:tc>
          <w:tcPr>
            <w:tcW w:w="1417" w:type="dxa"/>
            <w:tcBorders>
              <w:top w:val="double" w:sz="6" w:space="0" w:color="auto"/>
              <w:left w:val="nil"/>
            </w:tcBorders>
            <w:shd w:val="clear" w:color="auto" w:fill="auto"/>
            <w:vAlign w:val="bottom"/>
          </w:tcPr>
          <w:p w:rsidR="00916675" w:rsidRPr="00227C94" w:rsidRDefault="00916675" w:rsidP="00AF493A">
            <w:pPr>
              <w:pStyle w:val="tblNumber01"/>
            </w:pPr>
          </w:p>
        </w:tc>
        <w:tc>
          <w:tcPr>
            <w:tcW w:w="283" w:type="dxa"/>
            <w:tcBorders>
              <w:left w:val="nil"/>
            </w:tcBorders>
            <w:vAlign w:val="bottom"/>
          </w:tcPr>
          <w:p w:rsidR="00916675" w:rsidRPr="00227C94" w:rsidRDefault="00916675" w:rsidP="00AF493A">
            <w:pPr>
              <w:pStyle w:val="tblNumber01"/>
            </w:pPr>
          </w:p>
        </w:tc>
        <w:tc>
          <w:tcPr>
            <w:tcW w:w="1417" w:type="dxa"/>
            <w:tcBorders>
              <w:top w:val="double" w:sz="6" w:space="0" w:color="auto"/>
              <w:left w:val="nil"/>
              <w:right w:val="nil"/>
            </w:tcBorders>
            <w:shd w:val="clear" w:color="auto" w:fill="auto"/>
            <w:vAlign w:val="bottom"/>
          </w:tcPr>
          <w:p w:rsidR="00916675" w:rsidRPr="00227C94" w:rsidRDefault="00916675" w:rsidP="00AF493A">
            <w:pPr>
              <w:pStyle w:val="tblNumber01"/>
            </w:pPr>
          </w:p>
        </w:tc>
      </w:tr>
      <w:tr w:rsidR="00916675" w:rsidRPr="00227C94" w:rsidTr="00AF493A">
        <w:trPr>
          <w:cantSplit/>
        </w:trPr>
        <w:tc>
          <w:tcPr>
            <w:tcW w:w="4118" w:type="dxa"/>
          </w:tcPr>
          <w:p w:rsidR="00916675" w:rsidRPr="00227C94" w:rsidRDefault="00916675" w:rsidP="00AF493A">
            <w:pPr>
              <w:pStyle w:val="tblText02"/>
              <w:rPr>
                <w:b/>
                <w:lang w:val="en-US"/>
              </w:rPr>
            </w:pPr>
            <w:r w:rsidRPr="00227C94">
              <w:rPr>
                <w:b/>
                <w:lang w:val="en-US"/>
              </w:rPr>
              <w:t>Inventories expected to be recovered in the next twelve months</w:t>
            </w:r>
          </w:p>
        </w:tc>
        <w:tc>
          <w:tcPr>
            <w:tcW w:w="1417" w:type="dxa"/>
            <w:vAlign w:val="bottom"/>
          </w:tcPr>
          <w:p w:rsidR="00916675" w:rsidRPr="00227C94" w:rsidRDefault="00916675" w:rsidP="00AF493A">
            <w:pPr>
              <w:pStyle w:val="tblNumber01"/>
              <w:rPr>
                <w:lang w:val="en-US"/>
              </w:rPr>
            </w:pPr>
          </w:p>
        </w:tc>
        <w:tc>
          <w:tcPr>
            <w:tcW w:w="283" w:type="dxa"/>
            <w:tcBorders>
              <w:right w:val="nil"/>
            </w:tcBorders>
            <w:vAlign w:val="bottom"/>
          </w:tcPr>
          <w:p w:rsidR="00916675" w:rsidRPr="00227C94" w:rsidRDefault="00916675" w:rsidP="00AF493A">
            <w:pPr>
              <w:pStyle w:val="tblNumber01"/>
              <w:rPr>
                <w:lang w:val="en-US"/>
              </w:rPr>
            </w:pPr>
          </w:p>
        </w:tc>
        <w:tc>
          <w:tcPr>
            <w:tcW w:w="1417" w:type="dxa"/>
            <w:tcBorders>
              <w:left w:val="nil"/>
            </w:tcBorders>
            <w:vAlign w:val="bottom"/>
          </w:tcPr>
          <w:p w:rsidR="00916675" w:rsidRPr="00227C94" w:rsidRDefault="00916675" w:rsidP="00AF493A">
            <w:pPr>
              <w:pStyle w:val="tblNumber01"/>
              <w:rPr>
                <w:lang w:val="en-US"/>
              </w:rPr>
            </w:pPr>
          </w:p>
        </w:tc>
        <w:tc>
          <w:tcPr>
            <w:tcW w:w="283" w:type="dxa"/>
            <w:tcBorders>
              <w:left w:val="nil"/>
            </w:tcBorders>
            <w:vAlign w:val="bottom"/>
          </w:tcPr>
          <w:p w:rsidR="00916675" w:rsidRPr="00227C94" w:rsidRDefault="00916675" w:rsidP="00AF493A">
            <w:pPr>
              <w:pStyle w:val="tblNumber01"/>
              <w:rPr>
                <w:lang w:val="en-US"/>
              </w:rPr>
            </w:pPr>
          </w:p>
        </w:tc>
        <w:tc>
          <w:tcPr>
            <w:tcW w:w="1417" w:type="dxa"/>
            <w:tcBorders>
              <w:left w:val="nil"/>
              <w:right w:val="nil"/>
            </w:tcBorders>
            <w:vAlign w:val="bottom"/>
          </w:tcPr>
          <w:p w:rsidR="00916675" w:rsidRPr="00227C94" w:rsidRDefault="00916675" w:rsidP="00AF493A">
            <w:pPr>
              <w:pStyle w:val="tblNumber01"/>
              <w:rPr>
                <w:lang w:val="en-US"/>
              </w:rPr>
            </w:pPr>
          </w:p>
        </w:tc>
      </w:tr>
      <w:tr w:rsidR="00916675" w:rsidRPr="00227C94" w:rsidTr="00A701F4">
        <w:trPr>
          <w:cantSplit/>
        </w:trPr>
        <w:tc>
          <w:tcPr>
            <w:tcW w:w="4118" w:type="dxa"/>
          </w:tcPr>
          <w:p w:rsidR="00916675" w:rsidRPr="00227C94" w:rsidRDefault="00916675" w:rsidP="00AF493A">
            <w:pPr>
              <w:pStyle w:val="tblText02"/>
              <w:rPr>
                <w:lang w:val="en-US"/>
              </w:rPr>
            </w:pPr>
            <w:r w:rsidRPr="00227C94">
              <w:rPr>
                <w:lang w:val="en-US"/>
              </w:rPr>
              <w:t>Gold-in-process at net production cost</w:t>
            </w:r>
          </w:p>
        </w:tc>
        <w:tc>
          <w:tcPr>
            <w:tcW w:w="1417" w:type="dxa"/>
            <w:vAlign w:val="bottom"/>
          </w:tcPr>
          <w:p w:rsidR="00916675" w:rsidRPr="00227C94" w:rsidRDefault="00916675" w:rsidP="00AF493A">
            <w:pPr>
              <w:pStyle w:val="tblNumber01"/>
            </w:pPr>
            <w:r w:rsidRPr="00227C94">
              <w:t>229,174</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257,419</w:t>
            </w:r>
          </w:p>
        </w:tc>
        <w:tc>
          <w:tcPr>
            <w:tcW w:w="283" w:type="dxa"/>
            <w:tcBorders>
              <w:left w:val="nil"/>
            </w:tcBorders>
            <w:vAlign w:val="bottom"/>
          </w:tcPr>
          <w:p w:rsidR="00916675" w:rsidRPr="00227C94" w:rsidRDefault="00916675" w:rsidP="00AF493A">
            <w:pPr>
              <w:pStyle w:val="tblNumber01"/>
            </w:pPr>
          </w:p>
        </w:tc>
        <w:tc>
          <w:tcPr>
            <w:tcW w:w="1417" w:type="dxa"/>
            <w:tcBorders>
              <w:left w:val="nil"/>
              <w:right w:val="nil"/>
            </w:tcBorders>
            <w:vAlign w:val="bottom"/>
          </w:tcPr>
          <w:p w:rsidR="00916675" w:rsidRPr="00227C94" w:rsidRDefault="00916675" w:rsidP="00AF493A">
            <w:pPr>
              <w:pStyle w:val="tblNumber01"/>
            </w:pPr>
            <w:r w:rsidRPr="00227C94">
              <w:t>163,758</w:t>
            </w:r>
          </w:p>
        </w:tc>
      </w:tr>
      <w:tr w:rsidR="00916675" w:rsidRPr="00227C94" w:rsidTr="00A701F4">
        <w:trPr>
          <w:cantSplit/>
        </w:trPr>
        <w:tc>
          <w:tcPr>
            <w:tcW w:w="4118" w:type="dxa"/>
          </w:tcPr>
          <w:p w:rsidR="00916675" w:rsidRPr="00227C94" w:rsidRDefault="00916675" w:rsidP="00AF493A">
            <w:pPr>
              <w:pStyle w:val="tblText02"/>
              <w:rPr>
                <w:lang w:val="en-US"/>
              </w:rPr>
            </w:pPr>
            <w:r w:rsidRPr="00227C94">
              <w:rPr>
                <w:lang w:val="en-US"/>
              </w:rPr>
              <w:t>Refined gold at net production cost</w:t>
            </w:r>
          </w:p>
        </w:tc>
        <w:tc>
          <w:tcPr>
            <w:tcW w:w="1417" w:type="dxa"/>
            <w:tcBorders>
              <w:bottom w:val="single" w:sz="6" w:space="0" w:color="auto"/>
            </w:tcBorders>
            <w:shd w:val="clear" w:color="auto" w:fill="auto"/>
            <w:vAlign w:val="bottom"/>
          </w:tcPr>
          <w:p w:rsidR="00916675" w:rsidRPr="00227C94" w:rsidRDefault="00916675" w:rsidP="00AF493A">
            <w:pPr>
              <w:pStyle w:val="tblNumber01"/>
            </w:pPr>
            <w:r w:rsidRPr="00227C94">
              <w:t>6,558</w:t>
            </w:r>
          </w:p>
        </w:tc>
        <w:tc>
          <w:tcPr>
            <w:tcW w:w="283" w:type="dxa"/>
            <w:tcBorders>
              <w:right w:val="nil"/>
            </w:tcBorders>
            <w:vAlign w:val="bottom"/>
          </w:tcPr>
          <w:p w:rsidR="00916675" w:rsidRPr="00227C94" w:rsidRDefault="00916675" w:rsidP="00AF493A">
            <w:pPr>
              <w:pStyle w:val="tblNumber01"/>
            </w:pPr>
          </w:p>
        </w:tc>
        <w:tc>
          <w:tcPr>
            <w:tcW w:w="1417" w:type="dxa"/>
            <w:tcBorders>
              <w:left w:val="nil"/>
              <w:bottom w:val="single" w:sz="6" w:space="0" w:color="auto"/>
            </w:tcBorders>
            <w:shd w:val="clear" w:color="auto" w:fill="auto"/>
            <w:vAlign w:val="bottom"/>
          </w:tcPr>
          <w:p w:rsidR="00916675" w:rsidRPr="00227C94" w:rsidRDefault="00916675" w:rsidP="00AF493A">
            <w:pPr>
              <w:pStyle w:val="tblNumber01"/>
            </w:pPr>
            <w:r w:rsidRPr="00227C94">
              <w:t>4,047</w:t>
            </w:r>
          </w:p>
        </w:tc>
        <w:tc>
          <w:tcPr>
            <w:tcW w:w="283" w:type="dxa"/>
            <w:tcBorders>
              <w:left w:val="nil"/>
            </w:tcBorders>
            <w:vAlign w:val="bottom"/>
          </w:tcPr>
          <w:p w:rsidR="00916675" w:rsidRPr="00227C94" w:rsidRDefault="00916675" w:rsidP="00AF493A">
            <w:pPr>
              <w:pStyle w:val="tblNumber01"/>
            </w:pPr>
          </w:p>
        </w:tc>
        <w:tc>
          <w:tcPr>
            <w:tcW w:w="1417" w:type="dxa"/>
            <w:tcBorders>
              <w:left w:val="nil"/>
              <w:bottom w:val="single" w:sz="6" w:space="0" w:color="auto"/>
              <w:right w:val="nil"/>
            </w:tcBorders>
            <w:shd w:val="clear" w:color="auto" w:fill="auto"/>
            <w:vAlign w:val="bottom"/>
          </w:tcPr>
          <w:p w:rsidR="00916675" w:rsidRPr="00227C94" w:rsidRDefault="00916675" w:rsidP="00AF493A">
            <w:pPr>
              <w:pStyle w:val="tblNumber01"/>
            </w:pPr>
            <w:r w:rsidRPr="00227C94">
              <w:t>24,757</w:t>
            </w:r>
          </w:p>
        </w:tc>
      </w:tr>
      <w:tr w:rsidR="00916675" w:rsidRPr="00227C94" w:rsidTr="00A701F4">
        <w:trPr>
          <w:cantSplit/>
        </w:trPr>
        <w:tc>
          <w:tcPr>
            <w:tcW w:w="4118" w:type="dxa"/>
          </w:tcPr>
          <w:p w:rsidR="00916675" w:rsidRPr="00227C94" w:rsidRDefault="00916675" w:rsidP="00AF493A">
            <w:pPr>
              <w:pStyle w:val="tblText02"/>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tcBorders>
              <w:righ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c>
          <w:tcPr>
            <w:tcW w:w="283" w:type="dxa"/>
            <w:tcBorders>
              <w:left w:val="nil"/>
            </w:tcBorders>
            <w:vAlign w:val="bottom"/>
          </w:tcPr>
          <w:p w:rsidR="00916675" w:rsidRPr="00227C94" w:rsidRDefault="00916675" w:rsidP="00AF493A">
            <w:pPr>
              <w:pStyle w:val="tblNumber01"/>
            </w:pPr>
          </w:p>
        </w:tc>
        <w:tc>
          <w:tcPr>
            <w:tcW w:w="1417" w:type="dxa"/>
            <w:tcBorders>
              <w:top w:val="single" w:sz="6" w:space="0" w:color="auto"/>
              <w:left w:val="nil"/>
              <w:right w:val="nil"/>
            </w:tcBorders>
            <w:shd w:val="clear" w:color="auto" w:fill="auto"/>
            <w:vAlign w:val="bottom"/>
          </w:tcPr>
          <w:p w:rsidR="00916675" w:rsidRPr="00227C94" w:rsidRDefault="00916675" w:rsidP="00AF493A">
            <w:pPr>
              <w:pStyle w:val="tblNumber01"/>
            </w:pPr>
          </w:p>
        </w:tc>
      </w:tr>
      <w:tr w:rsidR="00916675" w:rsidRPr="00227C94" w:rsidTr="00A701F4">
        <w:trPr>
          <w:cantSplit/>
        </w:trPr>
        <w:tc>
          <w:tcPr>
            <w:tcW w:w="4118" w:type="dxa"/>
          </w:tcPr>
          <w:p w:rsidR="00916675" w:rsidRPr="00227C94" w:rsidRDefault="00916675" w:rsidP="00AF493A">
            <w:pPr>
              <w:pStyle w:val="tblText02"/>
              <w:rPr>
                <w:b/>
              </w:rPr>
            </w:pPr>
            <w:r w:rsidRPr="00227C94">
              <w:rPr>
                <w:b/>
              </w:rPr>
              <w:t>Total metal inventories</w:t>
            </w:r>
          </w:p>
        </w:tc>
        <w:tc>
          <w:tcPr>
            <w:tcW w:w="1417" w:type="dxa"/>
            <w:tcBorders>
              <w:bottom w:val="double" w:sz="6" w:space="0" w:color="auto"/>
            </w:tcBorders>
            <w:shd w:val="clear" w:color="auto" w:fill="auto"/>
            <w:vAlign w:val="bottom"/>
          </w:tcPr>
          <w:p w:rsidR="00916675" w:rsidRPr="00227C94" w:rsidRDefault="00916675" w:rsidP="00AF493A">
            <w:pPr>
              <w:pStyle w:val="tblNumber01"/>
              <w:rPr>
                <w:b/>
              </w:rPr>
            </w:pPr>
            <w:r w:rsidRPr="00227C94">
              <w:rPr>
                <w:b/>
              </w:rPr>
              <w:t>235,732</w:t>
            </w:r>
          </w:p>
        </w:tc>
        <w:tc>
          <w:tcPr>
            <w:tcW w:w="283" w:type="dxa"/>
            <w:tcBorders>
              <w:right w:val="nil"/>
            </w:tcBorders>
            <w:vAlign w:val="bottom"/>
          </w:tcPr>
          <w:p w:rsidR="00916675" w:rsidRPr="00227C94" w:rsidRDefault="00916675" w:rsidP="00AF493A">
            <w:pPr>
              <w:pStyle w:val="tblNumber01"/>
            </w:pPr>
          </w:p>
        </w:tc>
        <w:tc>
          <w:tcPr>
            <w:tcW w:w="1417" w:type="dxa"/>
            <w:tcBorders>
              <w:left w:val="nil"/>
              <w:bottom w:val="double" w:sz="6" w:space="0" w:color="auto"/>
            </w:tcBorders>
            <w:shd w:val="clear" w:color="auto" w:fill="auto"/>
            <w:vAlign w:val="bottom"/>
          </w:tcPr>
          <w:p w:rsidR="00916675" w:rsidRPr="00227C94" w:rsidRDefault="00916675" w:rsidP="00AF493A">
            <w:pPr>
              <w:pStyle w:val="tblNumber01"/>
              <w:rPr>
                <w:b/>
              </w:rPr>
            </w:pPr>
            <w:r w:rsidRPr="00227C94">
              <w:rPr>
                <w:b/>
              </w:rPr>
              <w:t>261,466</w:t>
            </w:r>
          </w:p>
        </w:tc>
        <w:tc>
          <w:tcPr>
            <w:tcW w:w="283" w:type="dxa"/>
            <w:tcBorders>
              <w:left w:val="nil"/>
            </w:tcBorders>
            <w:vAlign w:val="bottom"/>
          </w:tcPr>
          <w:p w:rsidR="00916675" w:rsidRPr="00227C94" w:rsidRDefault="00916675" w:rsidP="00AF493A">
            <w:pPr>
              <w:pStyle w:val="tblNumber01"/>
            </w:pPr>
          </w:p>
        </w:tc>
        <w:tc>
          <w:tcPr>
            <w:tcW w:w="1417" w:type="dxa"/>
            <w:tcBorders>
              <w:left w:val="nil"/>
              <w:bottom w:val="double" w:sz="6" w:space="0" w:color="auto"/>
              <w:right w:val="nil"/>
            </w:tcBorders>
            <w:shd w:val="clear" w:color="auto" w:fill="auto"/>
            <w:vAlign w:val="bottom"/>
          </w:tcPr>
          <w:p w:rsidR="00916675" w:rsidRPr="00227C94" w:rsidRDefault="00916675" w:rsidP="00AF493A">
            <w:pPr>
              <w:pStyle w:val="tblNumber01"/>
              <w:rPr>
                <w:b/>
              </w:rPr>
            </w:pPr>
            <w:r w:rsidRPr="00227C94">
              <w:rPr>
                <w:b/>
              </w:rPr>
              <w:t>188,515</w:t>
            </w:r>
          </w:p>
        </w:tc>
      </w:tr>
      <w:tr w:rsidR="00916675" w:rsidRPr="00227C94" w:rsidTr="00A701F4">
        <w:trPr>
          <w:cantSplit/>
        </w:trPr>
        <w:tc>
          <w:tcPr>
            <w:tcW w:w="4118" w:type="dxa"/>
          </w:tcPr>
          <w:p w:rsidR="00916675" w:rsidRPr="00227C94" w:rsidRDefault="00916675" w:rsidP="00AF493A">
            <w:pPr>
              <w:pStyle w:val="tblText02"/>
            </w:pPr>
          </w:p>
        </w:tc>
        <w:tc>
          <w:tcPr>
            <w:tcW w:w="1417" w:type="dxa"/>
            <w:tcBorders>
              <w:top w:val="double" w:sz="6" w:space="0" w:color="auto"/>
            </w:tcBorders>
            <w:shd w:val="clear" w:color="auto" w:fill="auto"/>
            <w:vAlign w:val="bottom"/>
          </w:tcPr>
          <w:p w:rsidR="00916675" w:rsidRPr="00227C94" w:rsidRDefault="00916675" w:rsidP="00AF493A">
            <w:pPr>
              <w:pStyle w:val="tblNumber01"/>
            </w:pPr>
          </w:p>
        </w:tc>
        <w:tc>
          <w:tcPr>
            <w:tcW w:w="283" w:type="dxa"/>
            <w:tcBorders>
              <w:right w:val="nil"/>
            </w:tcBorders>
            <w:vAlign w:val="bottom"/>
          </w:tcPr>
          <w:p w:rsidR="00916675" w:rsidRPr="00227C94" w:rsidRDefault="00916675" w:rsidP="00AF493A">
            <w:pPr>
              <w:pStyle w:val="tblNumber01"/>
            </w:pPr>
          </w:p>
        </w:tc>
        <w:tc>
          <w:tcPr>
            <w:tcW w:w="1417" w:type="dxa"/>
            <w:tcBorders>
              <w:top w:val="double" w:sz="6" w:space="0" w:color="auto"/>
              <w:left w:val="nil"/>
            </w:tcBorders>
            <w:shd w:val="clear" w:color="auto" w:fill="auto"/>
            <w:vAlign w:val="bottom"/>
          </w:tcPr>
          <w:p w:rsidR="00916675" w:rsidRPr="00227C94" w:rsidRDefault="00916675" w:rsidP="00AF493A">
            <w:pPr>
              <w:pStyle w:val="tblNumber01"/>
            </w:pPr>
          </w:p>
        </w:tc>
        <w:tc>
          <w:tcPr>
            <w:tcW w:w="283" w:type="dxa"/>
            <w:tcBorders>
              <w:left w:val="nil"/>
            </w:tcBorders>
            <w:vAlign w:val="bottom"/>
          </w:tcPr>
          <w:p w:rsidR="00916675" w:rsidRPr="00227C94" w:rsidRDefault="00916675" w:rsidP="00AF493A">
            <w:pPr>
              <w:pStyle w:val="tblNumber01"/>
            </w:pPr>
          </w:p>
        </w:tc>
        <w:tc>
          <w:tcPr>
            <w:tcW w:w="1417" w:type="dxa"/>
            <w:tcBorders>
              <w:top w:val="double" w:sz="6" w:space="0" w:color="auto"/>
              <w:left w:val="nil"/>
              <w:right w:val="nil"/>
            </w:tcBorders>
            <w:shd w:val="clear" w:color="auto" w:fill="auto"/>
            <w:vAlign w:val="bottom"/>
          </w:tcPr>
          <w:p w:rsidR="00916675" w:rsidRPr="00227C94" w:rsidRDefault="00916675" w:rsidP="00AF493A">
            <w:pPr>
              <w:pStyle w:val="tblNumber01"/>
            </w:pPr>
          </w:p>
        </w:tc>
      </w:tr>
      <w:tr w:rsidR="00916675" w:rsidRPr="00227C94" w:rsidTr="00A701F4">
        <w:trPr>
          <w:cantSplit/>
        </w:trPr>
        <w:tc>
          <w:tcPr>
            <w:tcW w:w="4118" w:type="dxa"/>
          </w:tcPr>
          <w:p w:rsidR="00916675" w:rsidRPr="00227C94" w:rsidRDefault="00916675" w:rsidP="00AF493A">
            <w:pPr>
              <w:pStyle w:val="tblText02"/>
              <w:rPr>
                <w:lang w:val="en-US"/>
              </w:rPr>
            </w:pPr>
            <w:r w:rsidRPr="00227C94">
              <w:rPr>
                <w:lang w:val="en-US"/>
              </w:rPr>
              <w:t>Stores and materials at cost</w:t>
            </w:r>
          </w:p>
        </w:tc>
        <w:tc>
          <w:tcPr>
            <w:tcW w:w="1417" w:type="dxa"/>
            <w:tcBorders>
              <w:bottom w:val="single" w:sz="6" w:space="0" w:color="auto"/>
            </w:tcBorders>
            <w:shd w:val="clear" w:color="auto" w:fill="auto"/>
            <w:vAlign w:val="bottom"/>
          </w:tcPr>
          <w:p w:rsidR="00916675" w:rsidRPr="00227C94" w:rsidRDefault="00916675" w:rsidP="00AF493A">
            <w:pPr>
              <w:pStyle w:val="tblNumber01"/>
            </w:pPr>
            <w:r w:rsidRPr="00227C94">
              <w:t>368,773</w:t>
            </w:r>
          </w:p>
        </w:tc>
        <w:tc>
          <w:tcPr>
            <w:tcW w:w="283" w:type="dxa"/>
            <w:tcBorders>
              <w:right w:val="nil"/>
            </w:tcBorders>
            <w:vAlign w:val="bottom"/>
          </w:tcPr>
          <w:p w:rsidR="00916675" w:rsidRPr="00227C94" w:rsidRDefault="00916675" w:rsidP="00AF493A">
            <w:pPr>
              <w:pStyle w:val="tblNumber01"/>
            </w:pPr>
          </w:p>
        </w:tc>
        <w:tc>
          <w:tcPr>
            <w:tcW w:w="1417" w:type="dxa"/>
            <w:tcBorders>
              <w:left w:val="nil"/>
              <w:bottom w:val="single" w:sz="6" w:space="0" w:color="auto"/>
            </w:tcBorders>
            <w:shd w:val="clear" w:color="auto" w:fill="auto"/>
            <w:vAlign w:val="bottom"/>
          </w:tcPr>
          <w:p w:rsidR="00916675" w:rsidRPr="00227C94" w:rsidRDefault="00916675" w:rsidP="00AF493A">
            <w:pPr>
              <w:pStyle w:val="tblNumber01"/>
            </w:pPr>
            <w:r w:rsidRPr="00227C94">
              <w:t>337,490</w:t>
            </w:r>
          </w:p>
        </w:tc>
        <w:tc>
          <w:tcPr>
            <w:tcW w:w="283" w:type="dxa"/>
            <w:tcBorders>
              <w:left w:val="nil"/>
            </w:tcBorders>
            <w:vAlign w:val="bottom"/>
          </w:tcPr>
          <w:p w:rsidR="00916675" w:rsidRPr="00227C94" w:rsidRDefault="00916675" w:rsidP="00AF493A">
            <w:pPr>
              <w:pStyle w:val="tblNumber01"/>
            </w:pPr>
          </w:p>
        </w:tc>
        <w:tc>
          <w:tcPr>
            <w:tcW w:w="1417" w:type="dxa"/>
            <w:tcBorders>
              <w:left w:val="nil"/>
              <w:bottom w:val="single" w:sz="6" w:space="0" w:color="auto"/>
              <w:right w:val="nil"/>
            </w:tcBorders>
            <w:shd w:val="clear" w:color="auto" w:fill="auto"/>
            <w:vAlign w:val="bottom"/>
          </w:tcPr>
          <w:p w:rsidR="00916675" w:rsidRPr="00227C94" w:rsidRDefault="00916675" w:rsidP="00AF493A">
            <w:pPr>
              <w:pStyle w:val="tblNumber01"/>
            </w:pPr>
            <w:r w:rsidRPr="00227C94">
              <w:t>354,508</w:t>
            </w:r>
          </w:p>
        </w:tc>
      </w:tr>
      <w:tr w:rsidR="00916675" w:rsidRPr="00227C94" w:rsidTr="00A701F4">
        <w:trPr>
          <w:cantSplit/>
        </w:trPr>
        <w:tc>
          <w:tcPr>
            <w:tcW w:w="4118" w:type="dxa"/>
          </w:tcPr>
          <w:p w:rsidR="00916675" w:rsidRPr="00227C94" w:rsidRDefault="00916675" w:rsidP="00AF493A">
            <w:pPr>
              <w:pStyle w:val="tblText02"/>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tcBorders>
              <w:righ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c>
          <w:tcPr>
            <w:tcW w:w="283" w:type="dxa"/>
            <w:tcBorders>
              <w:left w:val="nil"/>
            </w:tcBorders>
            <w:vAlign w:val="bottom"/>
          </w:tcPr>
          <w:p w:rsidR="00916675" w:rsidRPr="00227C94" w:rsidRDefault="00916675" w:rsidP="00AF493A">
            <w:pPr>
              <w:pStyle w:val="tblNumber01"/>
            </w:pPr>
          </w:p>
        </w:tc>
        <w:tc>
          <w:tcPr>
            <w:tcW w:w="1417" w:type="dxa"/>
            <w:tcBorders>
              <w:top w:val="single" w:sz="6" w:space="0" w:color="auto"/>
              <w:left w:val="nil"/>
              <w:right w:val="nil"/>
            </w:tcBorders>
            <w:shd w:val="clear" w:color="auto" w:fill="auto"/>
            <w:vAlign w:val="bottom"/>
          </w:tcPr>
          <w:p w:rsidR="00916675" w:rsidRPr="00227C94" w:rsidRDefault="00916675" w:rsidP="00AF493A">
            <w:pPr>
              <w:pStyle w:val="tblNumber01"/>
            </w:pPr>
          </w:p>
        </w:tc>
      </w:tr>
      <w:tr w:rsidR="00916675" w:rsidRPr="00227C94" w:rsidTr="00AF493A">
        <w:trPr>
          <w:cantSplit/>
        </w:trPr>
        <w:tc>
          <w:tcPr>
            <w:tcW w:w="4118" w:type="dxa"/>
          </w:tcPr>
          <w:p w:rsidR="00916675" w:rsidRPr="00227C94" w:rsidRDefault="00916675" w:rsidP="00AF493A">
            <w:pPr>
              <w:pStyle w:val="tblText02"/>
              <w:rPr>
                <w:b/>
              </w:rPr>
            </w:pPr>
            <w:r w:rsidRPr="00227C94">
              <w:rPr>
                <w:b/>
              </w:rPr>
              <w:t>Total</w:t>
            </w:r>
          </w:p>
        </w:tc>
        <w:tc>
          <w:tcPr>
            <w:tcW w:w="1417" w:type="dxa"/>
            <w:tcBorders>
              <w:bottom w:val="double" w:sz="6" w:space="0" w:color="auto"/>
            </w:tcBorders>
            <w:shd w:val="clear" w:color="auto" w:fill="auto"/>
            <w:vAlign w:val="bottom"/>
          </w:tcPr>
          <w:p w:rsidR="00916675" w:rsidRPr="00227C94" w:rsidRDefault="00916675" w:rsidP="00AF493A">
            <w:pPr>
              <w:pStyle w:val="tblNumber01"/>
              <w:rPr>
                <w:b/>
              </w:rPr>
            </w:pPr>
            <w:r w:rsidRPr="00227C94">
              <w:rPr>
                <w:b/>
              </w:rPr>
              <w:t>604,505</w:t>
            </w:r>
          </w:p>
        </w:tc>
        <w:tc>
          <w:tcPr>
            <w:tcW w:w="283" w:type="dxa"/>
            <w:tcBorders>
              <w:right w:val="nil"/>
            </w:tcBorders>
            <w:vAlign w:val="bottom"/>
          </w:tcPr>
          <w:p w:rsidR="00916675" w:rsidRPr="00227C94" w:rsidRDefault="00916675" w:rsidP="00AF493A">
            <w:pPr>
              <w:pStyle w:val="tblNumber01"/>
            </w:pPr>
          </w:p>
        </w:tc>
        <w:tc>
          <w:tcPr>
            <w:tcW w:w="1417" w:type="dxa"/>
            <w:tcBorders>
              <w:left w:val="nil"/>
              <w:bottom w:val="double" w:sz="6" w:space="0" w:color="auto"/>
            </w:tcBorders>
            <w:shd w:val="clear" w:color="auto" w:fill="auto"/>
            <w:vAlign w:val="bottom"/>
          </w:tcPr>
          <w:p w:rsidR="00916675" w:rsidRPr="00227C94" w:rsidRDefault="00916675" w:rsidP="00AF493A">
            <w:pPr>
              <w:pStyle w:val="tblNumber01"/>
              <w:rPr>
                <w:b/>
              </w:rPr>
            </w:pPr>
            <w:r w:rsidRPr="00227C94">
              <w:rPr>
                <w:b/>
              </w:rPr>
              <w:t>598,956</w:t>
            </w:r>
          </w:p>
        </w:tc>
        <w:tc>
          <w:tcPr>
            <w:tcW w:w="283" w:type="dxa"/>
            <w:tcBorders>
              <w:left w:val="nil"/>
            </w:tcBorders>
            <w:vAlign w:val="bottom"/>
          </w:tcPr>
          <w:p w:rsidR="00916675" w:rsidRPr="00227C94" w:rsidRDefault="00916675" w:rsidP="00AF493A">
            <w:pPr>
              <w:pStyle w:val="tblNumber01"/>
            </w:pPr>
          </w:p>
        </w:tc>
        <w:tc>
          <w:tcPr>
            <w:tcW w:w="1417" w:type="dxa"/>
            <w:tcBorders>
              <w:left w:val="nil"/>
              <w:bottom w:val="double" w:sz="6" w:space="0" w:color="auto"/>
              <w:right w:val="nil"/>
            </w:tcBorders>
            <w:shd w:val="clear" w:color="auto" w:fill="auto"/>
            <w:vAlign w:val="bottom"/>
          </w:tcPr>
          <w:p w:rsidR="00916675" w:rsidRPr="00227C94" w:rsidRDefault="00916675" w:rsidP="00AF493A">
            <w:pPr>
              <w:pStyle w:val="tblNumber01"/>
              <w:rPr>
                <w:b/>
              </w:rPr>
            </w:pPr>
            <w:r w:rsidRPr="00227C94">
              <w:rPr>
                <w:b/>
              </w:rPr>
              <w:t>543,023</w:t>
            </w:r>
          </w:p>
        </w:tc>
      </w:tr>
    </w:tbl>
    <w:p w:rsidR="00916675" w:rsidRPr="00227C94" w:rsidRDefault="00916675" w:rsidP="00AF493A">
      <w:pPr>
        <w:pStyle w:val="23"/>
        <w:rPr>
          <w:color w:val="auto"/>
          <w:lang w:val="en-US"/>
        </w:rPr>
      </w:pPr>
    </w:p>
    <w:p w:rsidR="00AF493A" w:rsidRPr="00227C94" w:rsidRDefault="00AF493A" w:rsidP="00AF493A">
      <w:pPr>
        <w:pStyle w:val="23"/>
        <w:rPr>
          <w:color w:val="auto"/>
          <w:lang w:val="en-US"/>
        </w:rPr>
      </w:pPr>
    </w:p>
    <w:p w:rsidR="00916675" w:rsidRPr="00227C94" w:rsidRDefault="00AF493A" w:rsidP="00916675">
      <w:pPr>
        <w:pStyle w:val="1"/>
        <w:rPr>
          <w:lang w:val="en-US"/>
        </w:rPr>
      </w:pPr>
      <w:r w:rsidRPr="00227C94">
        <w:rPr>
          <w:lang w:val="en-US"/>
        </w:rPr>
        <w:br w:type="page"/>
      </w:r>
      <w:r w:rsidR="00916675" w:rsidRPr="00227C94">
        <w:rPr>
          <w:lang w:val="en-US"/>
        </w:rPr>
        <w:lastRenderedPageBreak/>
        <w:t>CASH AND CASH EQUIVALENTS</w:t>
      </w:r>
    </w:p>
    <w:p w:rsidR="00916675" w:rsidRPr="00227C94" w:rsidRDefault="00916675" w:rsidP="00AF493A">
      <w:pPr>
        <w:pStyle w:val="23"/>
        <w:rPr>
          <w:color w:val="auto"/>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AF493A">
            <w:pPr>
              <w:pStyle w:val="tblHeaderText"/>
              <w:jc w:val="left"/>
            </w:pPr>
          </w:p>
        </w:tc>
        <w:tc>
          <w:tcPr>
            <w:tcW w:w="1417" w:type="dxa"/>
            <w:tcBorders>
              <w:bottom w:val="single" w:sz="6" w:space="0" w:color="auto"/>
            </w:tcBorders>
            <w:shd w:val="clear" w:color="auto" w:fill="auto"/>
            <w:vAlign w:val="bottom"/>
          </w:tcPr>
          <w:p w:rsidR="00916675" w:rsidRPr="00227C94" w:rsidRDefault="00916675" w:rsidP="00AF493A">
            <w:pPr>
              <w:pStyle w:val="tblHeaderText"/>
            </w:pPr>
            <w:r w:rsidRPr="00227C94">
              <w:t>30 June</w:t>
            </w:r>
          </w:p>
          <w:p w:rsidR="00916675" w:rsidRPr="00227C94" w:rsidRDefault="00916675" w:rsidP="00AF493A">
            <w:pPr>
              <w:pStyle w:val="tblHeaderText"/>
            </w:pPr>
            <w:r w:rsidRPr="00227C94">
              <w:t>2012</w:t>
            </w:r>
          </w:p>
        </w:tc>
        <w:tc>
          <w:tcPr>
            <w:tcW w:w="283" w:type="dxa"/>
            <w:tcBorders>
              <w:right w:val="nil"/>
            </w:tcBorders>
            <w:shd w:val="clear" w:color="auto" w:fill="auto"/>
          </w:tcPr>
          <w:p w:rsidR="00916675" w:rsidRPr="00227C94" w:rsidRDefault="00916675" w:rsidP="00AF493A">
            <w:pPr>
              <w:pStyle w:val="tblHeaderText"/>
            </w:pPr>
          </w:p>
        </w:tc>
        <w:tc>
          <w:tcPr>
            <w:tcW w:w="1417" w:type="dxa"/>
            <w:tcBorders>
              <w:left w:val="nil"/>
              <w:bottom w:val="single" w:sz="6" w:space="0" w:color="auto"/>
            </w:tcBorders>
            <w:shd w:val="clear" w:color="auto" w:fill="auto"/>
            <w:vAlign w:val="bottom"/>
          </w:tcPr>
          <w:p w:rsidR="00916675" w:rsidRPr="00227C94" w:rsidRDefault="00916675" w:rsidP="00AF493A">
            <w:pPr>
              <w:pStyle w:val="tblHeaderText"/>
            </w:pPr>
            <w:r w:rsidRPr="00227C94">
              <w:t>30 June</w:t>
            </w:r>
          </w:p>
          <w:p w:rsidR="00916675" w:rsidRPr="00227C94" w:rsidRDefault="00916675" w:rsidP="00AF493A">
            <w:pPr>
              <w:pStyle w:val="tblHeaderText"/>
            </w:pPr>
            <w:r w:rsidRPr="00227C94">
              <w:t>2011</w:t>
            </w:r>
          </w:p>
        </w:tc>
        <w:tc>
          <w:tcPr>
            <w:tcW w:w="283" w:type="dxa"/>
            <w:tcBorders>
              <w:left w:val="nil"/>
            </w:tcBorders>
            <w:shd w:val="clear" w:color="auto" w:fill="auto"/>
          </w:tcPr>
          <w:p w:rsidR="00916675" w:rsidRPr="00227C94" w:rsidRDefault="00916675" w:rsidP="00AF493A">
            <w:pPr>
              <w:pStyle w:val="tblHeaderText"/>
            </w:pPr>
          </w:p>
        </w:tc>
        <w:tc>
          <w:tcPr>
            <w:tcW w:w="1417" w:type="dxa"/>
            <w:tcBorders>
              <w:left w:val="nil"/>
              <w:bottom w:val="single" w:sz="6" w:space="0" w:color="auto"/>
            </w:tcBorders>
            <w:shd w:val="clear" w:color="auto" w:fill="auto"/>
          </w:tcPr>
          <w:p w:rsidR="00916675" w:rsidRPr="00227C94" w:rsidRDefault="00916675" w:rsidP="00AF493A">
            <w:pPr>
              <w:pStyle w:val="tblHeaderText"/>
            </w:pPr>
            <w:r w:rsidRPr="00227C94">
              <w:t>31 December 2011</w:t>
            </w:r>
          </w:p>
        </w:tc>
      </w:tr>
      <w:tr w:rsidR="00916675" w:rsidRPr="00227C94" w:rsidTr="00AF493A">
        <w:trPr>
          <w:cantSplit/>
        </w:trPr>
        <w:tc>
          <w:tcPr>
            <w:tcW w:w="4118" w:type="dxa"/>
          </w:tcPr>
          <w:p w:rsidR="00916675" w:rsidRPr="00227C94" w:rsidRDefault="00916675" w:rsidP="00AF493A">
            <w:pPr>
              <w:pStyle w:val="tblText02"/>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tcBorders>
              <w:righ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c>
          <w:tcPr>
            <w:tcW w:w="283" w:type="dxa"/>
            <w:tcBorders>
              <w:lef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r>
      <w:tr w:rsidR="00916675" w:rsidRPr="00227C94" w:rsidTr="00AF493A">
        <w:trPr>
          <w:cantSplit/>
        </w:trPr>
        <w:tc>
          <w:tcPr>
            <w:tcW w:w="4118" w:type="dxa"/>
          </w:tcPr>
          <w:p w:rsidR="00916675" w:rsidRPr="00227C94" w:rsidRDefault="00916675" w:rsidP="00AF493A">
            <w:pPr>
              <w:pStyle w:val="tblText02"/>
              <w:tabs>
                <w:tab w:val="left" w:pos="2076"/>
              </w:tabs>
            </w:pPr>
            <w:r w:rsidRPr="00227C94">
              <w:t>Bank deposits</w:t>
            </w:r>
            <w:r w:rsidRPr="00227C94">
              <w:tab/>
              <w:t>- RUB</w:t>
            </w:r>
          </w:p>
        </w:tc>
        <w:tc>
          <w:tcPr>
            <w:tcW w:w="1417" w:type="dxa"/>
            <w:vAlign w:val="bottom"/>
          </w:tcPr>
          <w:p w:rsidR="00916675" w:rsidRPr="00227C94" w:rsidRDefault="00916675" w:rsidP="00AF493A">
            <w:pPr>
              <w:pStyle w:val="tblNumber01"/>
            </w:pPr>
            <w:r w:rsidRPr="00227C94">
              <w:t>344,339</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71,933</w:t>
            </w:r>
          </w:p>
        </w:tc>
        <w:tc>
          <w:tcPr>
            <w:tcW w:w="283" w:type="dxa"/>
            <w:tcBorders>
              <w:lef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487,467</w:t>
            </w:r>
          </w:p>
        </w:tc>
      </w:tr>
      <w:tr w:rsidR="00916675" w:rsidRPr="00227C94" w:rsidTr="00AF493A">
        <w:trPr>
          <w:cantSplit/>
        </w:trPr>
        <w:tc>
          <w:tcPr>
            <w:tcW w:w="4118" w:type="dxa"/>
          </w:tcPr>
          <w:p w:rsidR="00916675" w:rsidRPr="00227C94" w:rsidRDefault="00AF493A" w:rsidP="00AF493A">
            <w:pPr>
              <w:pStyle w:val="tblText02"/>
              <w:tabs>
                <w:tab w:val="left" w:pos="2076"/>
              </w:tabs>
            </w:pPr>
            <w:r w:rsidRPr="00227C94">
              <w:rPr>
                <w:lang w:val="en-US"/>
              </w:rPr>
              <w:tab/>
            </w:r>
            <w:r w:rsidRPr="00227C94">
              <w:rPr>
                <w:lang w:val="en-US"/>
              </w:rPr>
              <w:tab/>
            </w:r>
            <w:r w:rsidR="00916675" w:rsidRPr="00227C94">
              <w:t>- foreign currencies</w:t>
            </w:r>
          </w:p>
        </w:tc>
        <w:tc>
          <w:tcPr>
            <w:tcW w:w="1417" w:type="dxa"/>
            <w:vAlign w:val="bottom"/>
          </w:tcPr>
          <w:p w:rsidR="00916675" w:rsidRPr="00227C94" w:rsidRDefault="00916675" w:rsidP="00AF493A">
            <w:pPr>
              <w:pStyle w:val="tblNumber01"/>
            </w:pPr>
            <w:r w:rsidRPr="00227C94">
              <w:t>180,463</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Dash"/>
            </w:pPr>
            <w:r w:rsidRPr="00227C94">
              <w:t>-</w:t>
            </w:r>
          </w:p>
        </w:tc>
        <w:tc>
          <w:tcPr>
            <w:tcW w:w="283" w:type="dxa"/>
            <w:tcBorders>
              <w:lef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p>
        </w:tc>
      </w:tr>
      <w:tr w:rsidR="00916675" w:rsidRPr="00227C94" w:rsidTr="00AF493A">
        <w:trPr>
          <w:cantSplit/>
        </w:trPr>
        <w:tc>
          <w:tcPr>
            <w:tcW w:w="4118" w:type="dxa"/>
          </w:tcPr>
          <w:p w:rsidR="00916675" w:rsidRPr="00227C94" w:rsidRDefault="00916675" w:rsidP="00AF493A">
            <w:pPr>
              <w:pStyle w:val="tblText02"/>
              <w:tabs>
                <w:tab w:val="left" w:pos="2076"/>
              </w:tabs>
            </w:pPr>
            <w:r w:rsidRPr="00227C94">
              <w:t>Current bank accounts</w:t>
            </w:r>
            <w:r w:rsidRPr="00227C94">
              <w:tab/>
              <w:t>- RUB</w:t>
            </w:r>
          </w:p>
        </w:tc>
        <w:tc>
          <w:tcPr>
            <w:tcW w:w="1417" w:type="dxa"/>
            <w:vAlign w:val="bottom"/>
          </w:tcPr>
          <w:p w:rsidR="00916675" w:rsidRPr="00227C94" w:rsidRDefault="00916675" w:rsidP="00AF493A">
            <w:pPr>
              <w:pStyle w:val="tblNumber01"/>
            </w:pPr>
            <w:r w:rsidRPr="00227C94">
              <w:t>106,616</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237,104</w:t>
            </w:r>
          </w:p>
        </w:tc>
        <w:tc>
          <w:tcPr>
            <w:tcW w:w="283" w:type="dxa"/>
            <w:tcBorders>
              <w:lef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146,761</w:t>
            </w:r>
          </w:p>
        </w:tc>
      </w:tr>
      <w:tr w:rsidR="00916675" w:rsidRPr="00227C94" w:rsidTr="00A701F4">
        <w:trPr>
          <w:cantSplit/>
        </w:trPr>
        <w:tc>
          <w:tcPr>
            <w:tcW w:w="4118" w:type="dxa"/>
          </w:tcPr>
          <w:p w:rsidR="00916675" w:rsidRPr="00227C94" w:rsidRDefault="00AF493A" w:rsidP="00AF493A">
            <w:pPr>
              <w:pStyle w:val="tblText02"/>
              <w:tabs>
                <w:tab w:val="left" w:pos="2076"/>
              </w:tabs>
            </w:pPr>
            <w:r w:rsidRPr="00227C94">
              <w:rPr>
                <w:lang w:val="en-US"/>
              </w:rPr>
              <w:tab/>
            </w:r>
            <w:r w:rsidRPr="00227C94">
              <w:rPr>
                <w:lang w:val="en-US"/>
              </w:rPr>
              <w:tab/>
            </w:r>
            <w:r w:rsidR="00916675" w:rsidRPr="00227C94">
              <w:t>- foreign currencies</w:t>
            </w:r>
          </w:p>
        </w:tc>
        <w:tc>
          <w:tcPr>
            <w:tcW w:w="1417" w:type="dxa"/>
            <w:vAlign w:val="bottom"/>
          </w:tcPr>
          <w:p w:rsidR="00916675" w:rsidRPr="00227C94" w:rsidRDefault="00916675" w:rsidP="00AF493A">
            <w:pPr>
              <w:pStyle w:val="tblNumber01"/>
            </w:pPr>
            <w:r w:rsidRPr="00227C94">
              <w:t>215,880</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111,833</w:t>
            </w:r>
          </w:p>
        </w:tc>
        <w:tc>
          <w:tcPr>
            <w:tcW w:w="283" w:type="dxa"/>
            <w:tcBorders>
              <w:lef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21,992</w:t>
            </w:r>
          </w:p>
        </w:tc>
      </w:tr>
      <w:tr w:rsidR="00916675" w:rsidRPr="00227C94" w:rsidTr="00A701F4">
        <w:trPr>
          <w:cantSplit/>
        </w:trPr>
        <w:tc>
          <w:tcPr>
            <w:tcW w:w="4118" w:type="dxa"/>
          </w:tcPr>
          <w:p w:rsidR="00916675" w:rsidRPr="00227C94" w:rsidRDefault="00916675" w:rsidP="00AF493A">
            <w:pPr>
              <w:pStyle w:val="tblText02"/>
              <w:rPr>
                <w:lang w:val="en-US"/>
              </w:rPr>
            </w:pPr>
            <w:r w:rsidRPr="00227C94">
              <w:rPr>
                <w:lang w:val="en-US"/>
              </w:rPr>
              <w:t>Other cash and cash equivalents</w:t>
            </w:r>
          </w:p>
        </w:tc>
        <w:tc>
          <w:tcPr>
            <w:tcW w:w="1417" w:type="dxa"/>
            <w:tcBorders>
              <w:bottom w:val="single" w:sz="6" w:space="0" w:color="auto"/>
            </w:tcBorders>
            <w:shd w:val="clear" w:color="auto" w:fill="auto"/>
            <w:vAlign w:val="bottom"/>
          </w:tcPr>
          <w:p w:rsidR="00916675" w:rsidRPr="00227C94" w:rsidRDefault="00916675" w:rsidP="00AF493A">
            <w:pPr>
              <w:pStyle w:val="tblNumber01"/>
            </w:pPr>
            <w:r w:rsidRPr="00227C94">
              <w:t>656</w:t>
            </w:r>
          </w:p>
        </w:tc>
        <w:tc>
          <w:tcPr>
            <w:tcW w:w="283" w:type="dxa"/>
            <w:tcBorders>
              <w:right w:val="nil"/>
            </w:tcBorders>
            <w:vAlign w:val="bottom"/>
          </w:tcPr>
          <w:p w:rsidR="00916675" w:rsidRPr="00227C94" w:rsidRDefault="00916675" w:rsidP="00AF493A">
            <w:pPr>
              <w:pStyle w:val="tblNumber01"/>
            </w:pPr>
          </w:p>
        </w:tc>
        <w:tc>
          <w:tcPr>
            <w:tcW w:w="1417" w:type="dxa"/>
            <w:tcBorders>
              <w:left w:val="nil"/>
              <w:bottom w:val="single" w:sz="6" w:space="0" w:color="auto"/>
            </w:tcBorders>
            <w:shd w:val="clear" w:color="auto" w:fill="auto"/>
            <w:vAlign w:val="bottom"/>
          </w:tcPr>
          <w:p w:rsidR="00916675" w:rsidRPr="00227C94" w:rsidRDefault="00916675" w:rsidP="00AF493A">
            <w:pPr>
              <w:pStyle w:val="tblNumber01"/>
            </w:pPr>
            <w:r w:rsidRPr="00227C94">
              <w:t>2,099</w:t>
            </w:r>
          </w:p>
        </w:tc>
        <w:tc>
          <w:tcPr>
            <w:tcW w:w="283" w:type="dxa"/>
            <w:tcBorders>
              <w:left w:val="nil"/>
            </w:tcBorders>
            <w:vAlign w:val="bottom"/>
          </w:tcPr>
          <w:p w:rsidR="00916675" w:rsidRPr="00227C94" w:rsidRDefault="00916675" w:rsidP="00AF493A">
            <w:pPr>
              <w:pStyle w:val="tblNumber01"/>
            </w:pPr>
          </w:p>
        </w:tc>
        <w:tc>
          <w:tcPr>
            <w:tcW w:w="1417" w:type="dxa"/>
            <w:tcBorders>
              <w:left w:val="nil"/>
              <w:bottom w:val="single" w:sz="6" w:space="0" w:color="auto"/>
            </w:tcBorders>
            <w:shd w:val="clear" w:color="auto" w:fill="auto"/>
            <w:vAlign w:val="bottom"/>
          </w:tcPr>
          <w:p w:rsidR="00916675" w:rsidRPr="00227C94" w:rsidRDefault="00916675" w:rsidP="00AF493A">
            <w:pPr>
              <w:pStyle w:val="tblNumber01"/>
            </w:pPr>
            <w:r w:rsidRPr="00227C94">
              <w:t>1,228</w:t>
            </w:r>
          </w:p>
        </w:tc>
      </w:tr>
      <w:tr w:rsidR="00916675" w:rsidRPr="00227C94" w:rsidTr="00A701F4">
        <w:trPr>
          <w:cantSplit/>
        </w:trPr>
        <w:tc>
          <w:tcPr>
            <w:tcW w:w="4118" w:type="dxa"/>
            <w:vAlign w:val="bottom"/>
          </w:tcPr>
          <w:p w:rsidR="00916675" w:rsidRPr="00227C94" w:rsidRDefault="00916675" w:rsidP="00AF493A">
            <w:pPr>
              <w:pStyle w:val="tblText02"/>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tcBorders>
              <w:righ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c>
          <w:tcPr>
            <w:tcW w:w="283" w:type="dxa"/>
            <w:tcBorders>
              <w:lef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r>
      <w:tr w:rsidR="00916675" w:rsidRPr="00227C94" w:rsidTr="00AF493A">
        <w:trPr>
          <w:cantSplit/>
        </w:trPr>
        <w:tc>
          <w:tcPr>
            <w:tcW w:w="4118" w:type="dxa"/>
            <w:vAlign w:val="bottom"/>
          </w:tcPr>
          <w:p w:rsidR="00916675" w:rsidRPr="00227C94" w:rsidRDefault="00916675" w:rsidP="00AF493A">
            <w:pPr>
              <w:pStyle w:val="tblText02"/>
              <w:rPr>
                <w:b/>
              </w:rPr>
            </w:pPr>
            <w:r w:rsidRPr="00227C94">
              <w:rPr>
                <w:b/>
              </w:rPr>
              <w:t>Total</w:t>
            </w:r>
          </w:p>
        </w:tc>
        <w:tc>
          <w:tcPr>
            <w:tcW w:w="1417" w:type="dxa"/>
            <w:tcBorders>
              <w:bottom w:val="double" w:sz="6" w:space="0" w:color="auto"/>
            </w:tcBorders>
            <w:shd w:val="clear" w:color="auto" w:fill="auto"/>
            <w:vAlign w:val="bottom"/>
          </w:tcPr>
          <w:p w:rsidR="00916675" w:rsidRPr="00227C94" w:rsidRDefault="00916675" w:rsidP="00AF493A">
            <w:pPr>
              <w:pStyle w:val="tblNumber01"/>
              <w:rPr>
                <w:b/>
              </w:rPr>
            </w:pPr>
            <w:r w:rsidRPr="00227C94">
              <w:rPr>
                <w:b/>
              </w:rPr>
              <w:t>847,954</w:t>
            </w:r>
          </w:p>
        </w:tc>
        <w:tc>
          <w:tcPr>
            <w:tcW w:w="283" w:type="dxa"/>
            <w:tcBorders>
              <w:right w:val="nil"/>
            </w:tcBorders>
            <w:vAlign w:val="bottom"/>
          </w:tcPr>
          <w:p w:rsidR="00916675" w:rsidRPr="00227C94" w:rsidRDefault="00916675" w:rsidP="00AF493A">
            <w:pPr>
              <w:pStyle w:val="tblNumber01"/>
            </w:pPr>
          </w:p>
        </w:tc>
        <w:tc>
          <w:tcPr>
            <w:tcW w:w="1417" w:type="dxa"/>
            <w:tcBorders>
              <w:left w:val="nil"/>
              <w:bottom w:val="double" w:sz="6" w:space="0" w:color="auto"/>
            </w:tcBorders>
            <w:shd w:val="clear" w:color="auto" w:fill="auto"/>
            <w:vAlign w:val="bottom"/>
          </w:tcPr>
          <w:p w:rsidR="00916675" w:rsidRPr="00227C94" w:rsidRDefault="00916675" w:rsidP="00AF493A">
            <w:pPr>
              <w:pStyle w:val="tblNumber01"/>
              <w:rPr>
                <w:b/>
              </w:rPr>
            </w:pPr>
            <w:r w:rsidRPr="00227C94">
              <w:rPr>
                <w:b/>
              </w:rPr>
              <w:t>422,969</w:t>
            </w:r>
          </w:p>
        </w:tc>
        <w:tc>
          <w:tcPr>
            <w:tcW w:w="283" w:type="dxa"/>
            <w:tcBorders>
              <w:left w:val="nil"/>
            </w:tcBorders>
            <w:vAlign w:val="bottom"/>
          </w:tcPr>
          <w:p w:rsidR="00916675" w:rsidRPr="00227C94" w:rsidRDefault="00916675" w:rsidP="00AF493A">
            <w:pPr>
              <w:pStyle w:val="tblNumber01"/>
            </w:pPr>
          </w:p>
        </w:tc>
        <w:tc>
          <w:tcPr>
            <w:tcW w:w="1417" w:type="dxa"/>
            <w:tcBorders>
              <w:left w:val="nil"/>
              <w:bottom w:val="double" w:sz="6" w:space="0" w:color="auto"/>
            </w:tcBorders>
            <w:shd w:val="clear" w:color="auto" w:fill="auto"/>
            <w:vAlign w:val="bottom"/>
          </w:tcPr>
          <w:p w:rsidR="00916675" w:rsidRPr="00227C94" w:rsidRDefault="00916675" w:rsidP="00AF493A">
            <w:pPr>
              <w:pStyle w:val="tblNumber01"/>
              <w:rPr>
                <w:b/>
              </w:rPr>
            </w:pPr>
            <w:r w:rsidRPr="00227C94">
              <w:rPr>
                <w:b/>
              </w:rPr>
              <w:t>657,448</w:t>
            </w:r>
          </w:p>
        </w:tc>
      </w:tr>
    </w:tbl>
    <w:p w:rsidR="00916675" w:rsidRPr="00227C94" w:rsidRDefault="00916675" w:rsidP="00AF493A">
      <w:pPr>
        <w:pStyle w:val="23"/>
        <w:rPr>
          <w:color w:val="auto"/>
          <w:lang w:val="en-US"/>
        </w:rPr>
      </w:pPr>
    </w:p>
    <w:p w:rsidR="00AF493A" w:rsidRPr="00227C94" w:rsidRDefault="00AF493A" w:rsidP="00AF493A">
      <w:pPr>
        <w:pStyle w:val="23"/>
        <w:rPr>
          <w:color w:val="auto"/>
          <w:lang w:val="en-US"/>
        </w:rPr>
      </w:pPr>
    </w:p>
    <w:p w:rsidR="00916675" w:rsidRPr="00227C94" w:rsidRDefault="00916675" w:rsidP="00AF493A">
      <w:pPr>
        <w:pStyle w:val="23"/>
        <w:rPr>
          <w:color w:val="auto"/>
          <w:lang w:val="en-US"/>
        </w:rPr>
      </w:pPr>
      <w:r w:rsidRPr="00227C94">
        <w:rPr>
          <w:color w:val="auto"/>
          <w:lang w:val="en-US"/>
        </w:rPr>
        <w:t>Bank deposits are denominated in RUB and USD and bear interest of 1.65-8.50% per annum with original maturity date within three months.</w:t>
      </w:r>
    </w:p>
    <w:p w:rsidR="00916675" w:rsidRPr="00227C94" w:rsidRDefault="00916675" w:rsidP="00AF493A">
      <w:pPr>
        <w:pStyle w:val="23"/>
        <w:rPr>
          <w:color w:val="auto"/>
          <w:lang w:val="en-US"/>
        </w:rPr>
      </w:pPr>
    </w:p>
    <w:p w:rsidR="00AF493A" w:rsidRPr="00227C94" w:rsidRDefault="00AF493A" w:rsidP="00AF493A">
      <w:pPr>
        <w:pStyle w:val="23"/>
        <w:rPr>
          <w:color w:val="auto"/>
          <w:lang w:val="en-US"/>
        </w:rPr>
      </w:pPr>
    </w:p>
    <w:p w:rsidR="00916675" w:rsidRPr="00227C94" w:rsidRDefault="00916675" w:rsidP="00916675">
      <w:pPr>
        <w:pStyle w:val="1"/>
        <w:rPr>
          <w:lang w:val="en-US"/>
        </w:rPr>
      </w:pPr>
      <w:r w:rsidRPr="00227C94">
        <w:rPr>
          <w:lang w:val="en-US"/>
        </w:rPr>
        <w:t>SHARE CAPITAL</w:t>
      </w:r>
    </w:p>
    <w:p w:rsidR="00916675" w:rsidRPr="00227C94" w:rsidRDefault="00916675" w:rsidP="00AF493A">
      <w:pPr>
        <w:pStyle w:val="23"/>
        <w:rPr>
          <w:color w:val="auto"/>
        </w:rPr>
      </w:pPr>
    </w:p>
    <w:p w:rsidR="00916675" w:rsidRPr="00227C94" w:rsidRDefault="00916675" w:rsidP="00AF493A">
      <w:pPr>
        <w:pStyle w:val="23"/>
        <w:rPr>
          <w:color w:val="auto"/>
          <w:lang w:val="en-US"/>
        </w:rPr>
      </w:pPr>
      <w:r w:rsidRPr="00227C94">
        <w:rPr>
          <w:color w:val="auto"/>
          <w:lang w:val="en-US"/>
        </w:rPr>
        <w:t>Issued and fully paid up ordinary shares of PGIL as of 30 June 2012 comprised 3,032,150 thousand shares. Number of the authorised share capital of the Company comprised 3,600,000 thousand shares with a par value of GBP0.0001 per share.</w:t>
      </w:r>
    </w:p>
    <w:p w:rsidR="00916675" w:rsidRPr="00227C94" w:rsidRDefault="00916675" w:rsidP="00AF493A">
      <w:pPr>
        <w:pStyle w:val="23"/>
        <w:rPr>
          <w:color w:val="auto"/>
          <w:lang w:val="en-US"/>
        </w:rPr>
      </w:pPr>
    </w:p>
    <w:p w:rsidR="00916675" w:rsidRPr="00227C94" w:rsidRDefault="00916675" w:rsidP="00AF493A">
      <w:pPr>
        <w:pStyle w:val="22"/>
        <w:rPr>
          <w:lang w:val="en-US"/>
        </w:rPr>
      </w:pPr>
      <w:r w:rsidRPr="00227C94">
        <w:t>Treasury shares</w:t>
      </w:r>
    </w:p>
    <w:p w:rsidR="00AF493A" w:rsidRPr="00227C94" w:rsidRDefault="00AF493A" w:rsidP="00AF493A">
      <w:pPr>
        <w:pStyle w:val="23"/>
        <w:rPr>
          <w:color w:val="auto"/>
          <w:lang w:val="en-US"/>
        </w:rPr>
      </w:pPr>
    </w:p>
    <w:p w:rsidR="00916675" w:rsidRPr="00227C94" w:rsidRDefault="00916675" w:rsidP="00AF493A">
      <w:pPr>
        <w:pStyle w:val="23"/>
        <w:rPr>
          <w:color w:val="auto"/>
          <w:spacing w:val="-2"/>
          <w:lang w:val="en-US"/>
        </w:rPr>
      </w:pPr>
      <w:r w:rsidRPr="00227C94">
        <w:rPr>
          <w:color w:val="auto"/>
          <w:spacing w:val="-2"/>
          <w:lang w:val="en-US"/>
        </w:rPr>
        <w:t xml:space="preserve">On 11 May 2012, Jenington International Inc, a subsidiary of the Group, completed the sale of </w:t>
      </w:r>
      <w:r w:rsidR="00AF493A" w:rsidRPr="00227C94">
        <w:rPr>
          <w:color w:val="auto"/>
          <w:spacing w:val="-2"/>
          <w:lang w:val="en-US"/>
        </w:rPr>
        <w:br/>
      </w:r>
      <w:r w:rsidRPr="00227C94">
        <w:rPr>
          <w:color w:val="auto"/>
          <w:spacing w:val="-2"/>
          <w:lang w:val="en-US"/>
        </w:rPr>
        <w:t>the Company’s treasury shares. 151,608 thousand shares were sold to Chengdong Investment Corporation, a wholly-owned subsidiary of CIC International Co. Ltd., and 50,198 thousand shares and 25,154 thousand Level I GDRs (one GDR is equal to one ordinary share) to JSC VTB Bank. The gross proceeds received from the two transactions were equal to USD635</w:t>
      </w:r>
      <w:proofErr w:type="gramStart"/>
      <w:r w:rsidRPr="00227C94">
        <w:rPr>
          <w:color w:val="auto"/>
          <w:spacing w:val="-2"/>
          <w:lang w:val="en-US"/>
        </w:rPr>
        <w:t>,487</w:t>
      </w:r>
      <w:proofErr w:type="gramEnd"/>
      <w:r w:rsidRPr="00227C94">
        <w:rPr>
          <w:color w:val="auto"/>
          <w:spacing w:val="-2"/>
          <w:lang w:val="en-US"/>
        </w:rPr>
        <w:t xml:space="preserve"> thousand, less USD11,115 thousand of arrangement fees directly attributable to the sale of the treasury shares.</w:t>
      </w:r>
    </w:p>
    <w:p w:rsidR="00916675" w:rsidRPr="00227C94" w:rsidRDefault="00916675" w:rsidP="00AF493A">
      <w:pPr>
        <w:pStyle w:val="23"/>
        <w:rPr>
          <w:color w:val="auto"/>
          <w:lang w:val="en-US"/>
        </w:rPr>
      </w:pPr>
    </w:p>
    <w:p w:rsidR="00916675" w:rsidRPr="00227C94" w:rsidRDefault="00916675" w:rsidP="00AF493A">
      <w:pPr>
        <w:pStyle w:val="23"/>
        <w:rPr>
          <w:color w:val="auto"/>
          <w:lang w:val="en-US"/>
        </w:rPr>
      </w:pPr>
      <w:r w:rsidRPr="00227C94">
        <w:rPr>
          <w:color w:val="auto"/>
          <w:lang w:val="en-US"/>
        </w:rPr>
        <w:t>In connection with the sale of treasury shares, the Group transferred the balance of USD37,475 thousand relating to the call options to acquire all the rights and obligations under the Gold Lion Holdings convertible loan agreements [see note 16(ii)] from treasury share account to additional paid-in capital.</w:t>
      </w:r>
    </w:p>
    <w:p w:rsidR="00916675" w:rsidRPr="00227C94" w:rsidRDefault="00916675" w:rsidP="00AF493A">
      <w:pPr>
        <w:pStyle w:val="23"/>
        <w:rPr>
          <w:color w:val="auto"/>
          <w:lang w:val="en-US"/>
        </w:rPr>
      </w:pPr>
    </w:p>
    <w:p w:rsidR="00916675" w:rsidRPr="00227C94" w:rsidRDefault="00916675" w:rsidP="00AF493A">
      <w:pPr>
        <w:pStyle w:val="22"/>
        <w:rPr>
          <w:lang w:val="en-US"/>
        </w:rPr>
      </w:pPr>
      <w:r w:rsidRPr="00227C94">
        <w:rPr>
          <w:lang w:val="en-US"/>
        </w:rPr>
        <w:t>Dividends to shareholders of the Company</w:t>
      </w:r>
    </w:p>
    <w:p w:rsidR="00AF493A" w:rsidRPr="00227C94" w:rsidRDefault="00AF493A" w:rsidP="00AF493A">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AF493A">
            <w:pPr>
              <w:pStyle w:val="tblHeaderText"/>
              <w:jc w:val="left"/>
              <w:rPr>
                <w:lang w:val="en-US"/>
              </w:rPr>
            </w:pPr>
          </w:p>
        </w:tc>
        <w:tc>
          <w:tcPr>
            <w:tcW w:w="1417" w:type="dxa"/>
            <w:tcBorders>
              <w:bottom w:val="single" w:sz="6" w:space="0" w:color="auto"/>
              <w:right w:val="nil"/>
            </w:tcBorders>
            <w:shd w:val="clear" w:color="auto" w:fill="auto"/>
            <w:vAlign w:val="bottom"/>
          </w:tcPr>
          <w:p w:rsidR="00916675" w:rsidRPr="00227C94" w:rsidRDefault="00916675" w:rsidP="00AF493A">
            <w:pPr>
              <w:pStyle w:val="tblHeaderText"/>
            </w:pPr>
            <w:r w:rsidRPr="00227C94">
              <w:t>Six months ended</w:t>
            </w:r>
          </w:p>
          <w:p w:rsidR="00916675" w:rsidRPr="00227C94" w:rsidRDefault="00916675" w:rsidP="00AF493A">
            <w:pPr>
              <w:pStyle w:val="tblHeaderText"/>
            </w:pPr>
            <w:r w:rsidRPr="00227C94">
              <w:t>30 June</w:t>
            </w:r>
            <w:r w:rsidR="00AF493A" w:rsidRPr="00227C94">
              <w:rPr>
                <w:lang w:val="en-US"/>
              </w:rPr>
              <w:t xml:space="preserve"> </w:t>
            </w:r>
            <w:r w:rsidRPr="00227C94">
              <w:t>2012</w:t>
            </w:r>
          </w:p>
        </w:tc>
        <w:tc>
          <w:tcPr>
            <w:tcW w:w="283" w:type="dxa"/>
            <w:tcBorders>
              <w:right w:val="nil"/>
            </w:tcBorders>
            <w:shd w:val="clear" w:color="auto" w:fill="auto"/>
          </w:tcPr>
          <w:p w:rsidR="00916675" w:rsidRPr="00227C94" w:rsidRDefault="00916675" w:rsidP="00AF493A">
            <w:pPr>
              <w:pStyle w:val="tblHeaderText"/>
            </w:pPr>
          </w:p>
        </w:tc>
        <w:tc>
          <w:tcPr>
            <w:tcW w:w="1417" w:type="dxa"/>
            <w:tcBorders>
              <w:left w:val="nil"/>
              <w:bottom w:val="single" w:sz="6" w:space="0" w:color="auto"/>
            </w:tcBorders>
            <w:shd w:val="clear" w:color="auto" w:fill="auto"/>
            <w:vAlign w:val="bottom"/>
          </w:tcPr>
          <w:p w:rsidR="00916675" w:rsidRPr="00227C94" w:rsidRDefault="00916675" w:rsidP="00AF493A">
            <w:pPr>
              <w:pStyle w:val="tblHeaderText"/>
            </w:pPr>
            <w:r w:rsidRPr="00227C94">
              <w:t>Six months ended</w:t>
            </w:r>
          </w:p>
          <w:p w:rsidR="00916675" w:rsidRPr="00227C94" w:rsidRDefault="00916675" w:rsidP="00AF493A">
            <w:pPr>
              <w:pStyle w:val="tblHeaderText"/>
            </w:pPr>
            <w:r w:rsidRPr="00227C94">
              <w:t>30 June</w:t>
            </w:r>
            <w:r w:rsidR="00AF493A" w:rsidRPr="00227C94">
              <w:rPr>
                <w:lang w:val="en-US"/>
              </w:rPr>
              <w:t xml:space="preserve"> </w:t>
            </w:r>
            <w:r w:rsidRPr="00227C94">
              <w:t>2011</w:t>
            </w:r>
          </w:p>
        </w:tc>
        <w:tc>
          <w:tcPr>
            <w:tcW w:w="283" w:type="dxa"/>
            <w:tcBorders>
              <w:left w:val="nil"/>
            </w:tcBorders>
            <w:shd w:val="clear" w:color="auto" w:fill="auto"/>
          </w:tcPr>
          <w:p w:rsidR="00916675" w:rsidRPr="00227C94" w:rsidRDefault="00916675" w:rsidP="00AF493A">
            <w:pPr>
              <w:pStyle w:val="tblHeaderText"/>
            </w:pPr>
          </w:p>
        </w:tc>
        <w:tc>
          <w:tcPr>
            <w:tcW w:w="1417" w:type="dxa"/>
            <w:tcBorders>
              <w:left w:val="nil"/>
              <w:bottom w:val="single" w:sz="6" w:space="0" w:color="auto"/>
            </w:tcBorders>
            <w:shd w:val="clear" w:color="auto" w:fill="auto"/>
          </w:tcPr>
          <w:p w:rsidR="00916675" w:rsidRPr="00227C94" w:rsidRDefault="00916675" w:rsidP="00AF493A">
            <w:pPr>
              <w:pStyle w:val="tblHeaderText"/>
            </w:pPr>
            <w:r w:rsidRPr="00227C94">
              <w:t>Six months</w:t>
            </w:r>
          </w:p>
          <w:p w:rsidR="00916675" w:rsidRPr="00227C94" w:rsidRDefault="00916675" w:rsidP="00AF493A">
            <w:pPr>
              <w:pStyle w:val="tblHeaderText"/>
            </w:pPr>
            <w:r w:rsidRPr="00227C94">
              <w:t>ended</w:t>
            </w:r>
          </w:p>
          <w:p w:rsidR="00916675" w:rsidRPr="00227C94" w:rsidRDefault="00916675" w:rsidP="00AF493A">
            <w:pPr>
              <w:pStyle w:val="tblHeaderText"/>
            </w:pPr>
            <w:r w:rsidRPr="00227C94">
              <w:t>31 December</w:t>
            </w:r>
          </w:p>
          <w:p w:rsidR="00916675" w:rsidRPr="00227C94" w:rsidRDefault="00916675" w:rsidP="00AF493A">
            <w:pPr>
              <w:pStyle w:val="tblHeaderText"/>
            </w:pPr>
            <w:r w:rsidRPr="00227C94">
              <w:t>2011</w:t>
            </w:r>
          </w:p>
        </w:tc>
      </w:tr>
      <w:tr w:rsidR="00916675" w:rsidRPr="00227C94" w:rsidTr="00AF493A">
        <w:trPr>
          <w:cantSplit/>
        </w:trPr>
        <w:tc>
          <w:tcPr>
            <w:tcW w:w="4118" w:type="dxa"/>
            <w:vAlign w:val="bottom"/>
          </w:tcPr>
          <w:p w:rsidR="00916675" w:rsidRPr="00227C94" w:rsidRDefault="00916675" w:rsidP="00AF493A">
            <w:pPr>
              <w:pStyle w:val="tblText02"/>
            </w:pPr>
          </w:p>
        </w:tc>
        <w:tc>
          <w:tcPr>
            <w:tcW w:w="1417" w:type="dxa"/>
            <w:tcBorders>
              <w:top w:val="single" w:sz="6" w:space="0" w:color="auto"/>
              <w:right w:val="nil"/>
            </w:tcBorders>
            <w:shd w:val="clear" w:color="auto" w:fill="auto"/>
            <w:vAlign w:val="bottom"/>
          </w:tcPr>
          <w:p w:rsidR="00916675" w:rsidRPr="00227C94" w:rsidRDefault="00916675" w:rsidP="00AF493A">
            <w:pPr>
              <w:pStyle w:val="tblNumber01"/>
            </w:pPr>
          </w:p>
        </w:tc>
        <w:tc>
          <w:tcPr>
            <w:tcW w:w="283" w:type="dxa"/>
            <w:tcBorders>
              <w:righ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c>
          <w:tcPr>
            <w:tcW w:w="283" w:type="dxa"/>
            <w:tcBorders>
              <w:lef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r>
      <w:tr w:rsidR="00916675" w:rsidRPr="00227C94" w:rsidTr="00AF493A">
        <w:trPr>
          <w:cantSplit/>
        </w:trPr>
        <w:tc>
          <w:tcPr>
            <w:tcW w:w="4118" w:type="dxa"/>
          </w:tcPr>
          <w:p w:rsidR="00916675" w:rsidRPr="00227C94" w:rsidRDefault="00916675" w:rsidP="00AF493A">
            <w:pPr>
              <w:pStyle w:val="tblText02"/>
              <w:rPr>
                <w:lang w:val="en-US"/>
              </w:rPr>
            </w:pPr>
            <w:r w:rsidRPr="00227C94">
              <w:rPr>
                <w:lang w:val="en-US"/>
              </w:rPr>
              <w:t>Dividend declared during the period, USD thousand</w:t>
            </w:r>
          </w:p>
        </w:tc>
        <w:tc>
          <w:tcPr>
            <w:tcW w:w="1417" w:type="dxa"/>
            <w:tcBorders>
              <w:right w:val="nil"/>
            </w:tcBorders>
            <w:vAlign w:val="bottom"/>
          </w:tcPr>
          <w:p w:rsidR="00916675" w:rsidRPr="00227C94" w:rsidRDefault="00916675" w:rsidP="00AF493A">
            <w:pPr>
              <w:pStyle w:val="tblNumber01"/>
            </w:pPr>
            <w:r w:rsidRPr="00227C94">
              <w:t>124,318</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72,327</w:t>
            </w:r>
          </w:p>
        </w:tc>
        <w:tc>
          <w:tcPr>
            <w:tcW w:w="283" w:type="dxa"/>
            <w:tcBorders>
              <w:lef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Dash"/>
            </w:pPr>
            <w:r w:rsidRPr="00227C94">
              <w:t>-</w:t>
            </w:r>
          </w:p>
        </w:tc>
      </w:tr>
      <w:tr w:rsidR="00916675" w:rsidRPr="00227C94" w:rsidTr="00AF493A">
        <w:trPr>
          <w:cantSplit/>
        </w:trPr>
        <w:tc>
          <w:tcPr>
            <w:tcW w:w="4118" w:type="dxa"/>
          </w:tcPr>
          <w:p w:rsidR="00916675" w:rsidRPr="00227C94" w:rsidRDefault="00916675" w:rsidP="00AF493A">
            <w:pPr>
              <w:pStyle w:val="tblText02"/>
              <w:rPr>
                <w:lang w:val="en-US"/>
              </w:rPr>
            </w:pPr>
            <w:r w:rsidRPr="00227C94">
              <w:rPr>
                <w:lang w:val="en-US"/>
              </w:rPr>
              <w:t>Dividend declared during the period, US cents per share</w:t>
            </w:r>
          </w:p>
        </w:tc>
        <w:tc>
          <w:tcPr>
            <w:tcW w:w="1417" w:type="dxa"/>
            <w:tcBorders>
              <w:right w:val="nil"/>
            </w:tcBorders>
            <w:vAlign w:val="bottom"/>
          </w:tcPr>
          <w:p w:rsidR="00916675" w:rsidRPr="00227C94" w:rsidRDefault="00916675" w:rsidP="00AF493A">
            <w:pPr>
              <w:pStyle w:val="tblNumber01"/>
            </w:pPr>
            <w:r w:rsidRPr="00227C94">
              <w:t>0.04</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0.02</w:t>
            </w:r>
          </w:p>
        </w:tc>
        <w:tc>
          <w:tcPr>
            <w:tcW w:w="283" w:type="dxa"/>
            <w:tcBorders>
              <w:lef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Dash"/>
            </w:pPr>
            <w:r w:rsidRPr="00227C94">
              <w:t>-</w:t>
            </w:r>
          </w:p>
        </w:tc>
      </w:tr>
    </w:tbl>
    <w:p w:rsidR="00916675" w:rsidRPr="00227C94" w:rsidRDefault="00916675" w:rsidP="00AF493A">
      <w:pPr>
        <w:pStyle w:val="23"/>
        <w:rPr>
          <w:color w:val="auto"/>
        </w:rPr>
      </w:pPr>
    </w:p>
    <w:p w:rsidR="00916675" w:rsidRPr="00227C94" w:rsidRDefault="00916675" w:rsidP="00AF493A">
      <w:pPr>
        <w:pStyle w:val="23"/>
        <w:rPr>
          <w:b/>
          <w:bCs/>
          <w:caps/>
          <w:color w:val="auto"/>
          <w:lang w:eastAsia="en-US"/>
        </w:rPr>
      </w:pPr>
    </w:p>
    <w:p w:rsidR="00916675" w:rsidRPr="00227C94" w:rsidRDefault="00AF493A" w:rsidP="00916675">
      <w:pPr>
        <w:pStyle w:val="1"/>
        <w:rPr>
          <w:lang w:val="en-US"/>
        </w:rPr>
      </w:pPr>
      <w:r w:rsidRPr="00227C94">
        <w:rPr>
          <w:lang w:val="en-US"/>
        </w:rPr>
        <w:br w:type="page"/>
      </w:r>
      <w:r w:rsidR="00916675" w:rsidRPr="00227C94">
        <w:rPr>
          <w:lang w:val="en-US"/>
        </w:rPr>
        <w:lastRenderedPageBreak/>
        <w:t>Borrowings</w:t>
      </w:r>
    </w:p>
    <w:p w:rsidR="00AF493A" w:rsidRPr="00227C94" w:rsidRDefault="00AF493A" w:rsidP="00AF493A">
      <w:pPr>
        <w:pStyle w:val="23"/>
        <w:rPr>
          <w:color w:val="auto"/>
        </w:rPr>
      </w:pPr>
    </w:p>
    <w:tbl>
      <w:tblPr>
        <w:tblW w:w="8935" w:type="dxa"/>
        <w:tblInd w:w="476" w:type="dxa"/>
        <w:tblLayout w:type="fixed"/>
        <w:tblCellMar>
          <w:left w:w="0" w:type="dxa"/>
          <w:right w:w="0" w:type="dxa"/>
        </w:tblCellMar>
        <w:tblLook w:val="0000" w:firstRow="0" w:lastRow="0" w:firstColumn="0" w:lastColumn="0" w:noHBand="0" w:noVBand="0"/>
      </w:tblPr>
      <w:tblGrid>
        <w:gridCol w:w="2688"/>
        <w:gridCol w:w="395"/>
        <w:gridCol w:w="927"/>
        <w:gridCol w:w="58"/>
        <w:gridCol w:w="927"/>
        <w:gridCol w:w="58"/>
        <w:gridCol w:w="927"/>
        <w:gridCol w:w="58"/>
        <w:gridCol w:w="927"/>
        <w:gridCol w:w="58"/>
        <w:gridCol w:w="927"/>
        <w:gridCol w:w="58"/>
        <w:gridCol w:w="927"/>
      </w:tblGrid>
      <w:tr w:rsidR="00AF493A" w:rsidRPr="00227C94" w:rsidTr="00AF493A">
        <w:trPr>
          <w:cantSplit/>
        </w:trPr>
        <w:tc>
          <w:tcPr>
            <w:tcW w:w="2688" w:type="dxa"/>
            <w:vAlign w:val="bottom"/>
          </w:tcPr>
          <w:p w:rsidR="00AF493A" w:rsidRPr="00227C94" w:rsidRDefault="00AF493A" w:rsidP="00AF493A">
            <w:pPr>
              <w:pStyle w:val="tblHeaderText"/>
              <w:jc w:val="left"/>
              <w:rPr>
                <w:sz w:val="16"/>
              </w:rPr>
            </w:pPr>
          </w:p>
        </w:tc>
        <w:tc>
          <w:tcPr>
            <w:tcW w:w="395" w:type="dxa"/>
          </w:tcPr>
          <w:p w:rsidR="00AF493A" w:rsidRPr="00227C94" w:rsidRDefault="00AF493A" w:rsidP="00AF493A">
            <w:pPr>
              <w:pStyle w:val="tblHeaderText"/>
              <w:rPr>
                <w:sz w:val="16"/>
              </w:rPr>
            </w:pPr>
          </w:p>
        </w:tc>
        <w:tc>
          <w:tcPr>
            <w:tcW w:w="1912" w:type="dxa"/>
            <w:gridSpan w:val="3"/>
            <w:tcBorders>
              <w:bottom w:val="single" w:sz="6" w:space="0" w:color="auto"/>
            </w:tcBorders>
            <w:shd w:val="clear" w:color="auto" w:fill="auto"/>
            <w:vAlign w:val="bottom"/>
          </w:tcPr>
          <w:p w:rsidR="00AF493A" w:rsidRPr="00227C94" w:rsidRDefault="00AF493A" w:rsidP="00AF493A">
            <w:pPr>
              <w:pStyle w:val="tblHeaderText"/>
              <w:rPr>
                <w:sz w:val="16"/>
              </w:rPr>
            </w:pPr>
            <w:r w:rsidRPr="00227C94">
              <w:rPr>
                <w:sz w:val="16"/>
              </w:rPr>
              <w:t>30 June 2012</w:t>
            </w:r>
          </w:p>
        </w:tc>
        <w:tc>
          <w:tcPr>
            <w:tcW w:w="58" w:type="dxa"/>
            <w:shd w:val="clear" w:color="auto" w:fill="auto"/>
          </w:tcPr>
          <w:p w:rsidR="00AF493A" w:rsidRPr="00227C94" w:rsidRDefault="00AF493A" w:rsidP="00AF493A">
            <w:pPr>
              <w:pStyle w:val="tblHeaderText"/>
              <w:rPr>
                <w:sz w:val="16"/>
              </w:rPr>
            </w:pPr>
          </w:p>
        </w:tc>
        <w:tc>
          <w:tcPr>
            <w:tcW w:w="1912" w:type="dxa"/>
            <w:gridSpan w:val="3"/>
            <w:tcBorders>
              <w:bottom w:val="single" w:sz="6" w:space="0" w:color="auto"/>
            </w:tcBorders>
            <w:shd w:val="clear" w:color="auto" w:fill="auto"/>
            <w:vAlign w:val="bottom"/>
          </w:tcPr>
          <w:p w:rsidR="00AF493A" w:rsidRPr="00227C94" w:rsidRDefault="00AF493A" w:rsidP="00AF493A">
            <w:pPr>
              <w:pStyle w:val="tblHeaderText"/>
              <w:rPr>
                <w:sz w:val="16"/>
              </w:rPr>
            </w:pPr>
            <w:r w:rsidRPr="00227C94">
              <w:rPr>
                <w:sz w:val="16"/>
              </w:rPr>
              <w:t>30 June 2011</w:t>
            </w:r>
          </w:p>
        </w:tc>
        <w:tc>
          <w:tcPr>
            <w:tcW w:w="58" w:type="dxa"/>
            <w:tcBorders>
              <w:left w:val="nil"/>
            </w:tcBorders>
            <w:shd w:val="clear" w:color="auto" w:fill="auto"/>
          </w:tcPr>
          <w:p w:rsidR="00AF493A" w:rsidRPr="00227C94" w:rsidRDefault="00AF493A" w:rsidP="00AF493A">
            <w:pPr>
              <w:pStyle w:val="tblHeaderText"/>
              <w:rPr>
                <w:sz w:val="16"/>
              </w:rPr>
            </w:pPr>
          </w:p>
        </w:tc>
        <w:tc>
          <w:tcPr>
            <w:tcW w:w="1912" w:type="dxa"/>
            <w:gridSpan w:val="3"/>
            <w:tcBorders>
              <w:left w:val="nil"/>
              <w:bottom w:val="single" w:sz="6" w:space="0" w:color="auto"/>
            </w:tcBorders>
            <w:shd w:val="clear" w:color="auto" w:fill="auto"/>
            <w:vAlign w:val="bottom"/>
          </w:tcPr>
          <w:p w:rsidR="00AF493A" w:rsidRPr="00227C94" w:rsidRDefault="00AF493A" w:rsidP="00AF493A">
            <w:pPr>
              <w:pStyle w:val="tblHeaderText"/>
              <w:rPr>
                <w:sz w:val="16"/>
              </w:rPr>
            </w:pPr>
            <w:r w:rsidRPr="00227C94">
              <w:rPr>
                <w:sz w:val="16"/>
              </w:rPr>
              <w:t>31 December 2011</w:t>
            </w:r>
          </w:p>
        </w:tc>
      </w:tr>
      <w:tr w:rsidR="00AF493A" w:rsidRPr="00227C94" w:rsidTr="00A701F4">
        <w:trPr>
          <w:cantSplit/>
        </w:trPr>
        <w:tc>
          <w:tcPr>
            <w:tcW w:w="2688" w:type="dxa"/>
            <w:vAlign w:val="bottom"/>
          </w:tcPr>
          <w:p w:rsidR="00AF493A" w:rsidRPr="00227C94" w:rsidRDefault="00AF493A" w:rsidP="00AF493A">
            <w:pPr>
              <w:pStyle w:val="tblHeaderText"/>
              <w:jc w:val="left"/>
              <w:rPr>
                <w:sz w:val="16"/>
              </w:rPr>
            </w:pPr>
          </w:p>
        </w:tc>
        <w:tc>
          <w:tcPr>
            <w:tcW w:w="395" w:type="dxa"/>
          </w:tcPr>
          <w:p w:rsidR="00AF493A" w:rsidRPr="00227C94" w:rsidRDefault="00AF493A" w:rsidP="00AF493A">
            <w:pPr>
              <w:pStyle w:val="tblHeaderText"/>
              <w:rPr>
                <w:sz w:val="16"/>
              </w:rPr>
            </w:pPr>
          </w:p>
        </w:tc>
        <w:tc>
          <w:tcPr>
            <w:tcW w:w="927" w:type="dxa"/>
            <w:tcBorders>
              <w:top w:val="single" w:sz="6" w:space="0" w:color="auto"/>
              <w:bottom w:val="single" w:sz="6" w:space="0" w:color="auto"/>
            </w:tcBorders>
            <w:shd w:val="clear" w:color="auto" w:fill="auto"/>
            <w:vAlign w:val="bottom"/>
          </w:tcPr>
          <w:p w:rsidR="00AF493A" w:rsidRPr="00227C94" w:rsidRDefault="00AF493A" w:rsidP="00AF493A">
            <w:pPr>
              <w:pStyle w:val="tblHeaderText"/>
              <w:rPr>
                <w:sz w:val="16"/>
              </w:rPr>
            </w:pPr>
            <w:r w:rsidRPr="00227C94">
              <w:rPr>
                <w:sz w:val="16"/>
              </w:rPr>
              <w:t>Nominal</w:t>
            </w:r>
          </w:p>
          <w:p w:rsidR="00AF493A" w:rsidRPr="00227C94" w:rsidRDefault="00AF493A" w:rsidP="00AF493A">
            <w:pPr>
              <w:pStyle w:val="tblHeaderText"/>
              <w:rPr>
                <w:sz w:val="16"/>
              </w:rPr>
            </w:pPr>
            <w:r w:rsidRPr="00227C94">
              <w:rPr>
                <w:sz w:val="16"/>
              </w:rPr>
              <w:t>rate %</w:t>
            </w:r>
          </w:p>
        </w:tc>
        <w:tc>
          <w:tcPr>
            <w:tcW w:w="58" w:type="dxa"/>
          </w:tcPr>
          <w:p w:rsidR="00AF493A" w:rsidRPr="00227C94" w:rsidRDefault="00AF493A" w:rsidP="00AF493A">
            <w:pPr>
              <w:pStyle w:val="tblHeaderText"/>
              <w:rPr>
                <w:sz w:val="16"/>
              </w:rPr>
            </w:pPr>
          </w:p>
        </w:tc>
        <w:tc>
          <w:tcPr>
            <w:tcW w:w="927" w:type="dxa"/>
            <w:tcBorders>
              <w:top w:val="single" w:sz="6" w:space="0" w:color="auto"/>
              <w:bottom w:val="single" w:sz="6" w:space="0" w:color="auto"/>
            </w:tcBorders>
            <w:shd w:val="clear" w:color="auto" w:fill="auto"/>
            <w:vAlign w:val="bottom"/>
          </w:tcPr>
          <w:p w:rsidR="00AF493A" w:rsidRPr="00227C94" w:rsidRDefault="00AF493A" w:rsidP="00AF493A">
            <w:pPr>
              <w:pStyle w:val="tblHeaderText"/>
              <w:rPr>
                <w:sz w:val="16"/>
              </w:rPr>
            </w:pPr>
            <w:r w:rsidRPr="00227C94">
              <w:rPr>
                <w:sz w:val="16"/>
              </w:rPr>
              <w:t>Outstanding balance</w:t>
            </w:r>
          </w:p>
        </w:tc>
        <w:tc>
          <w:tcPr>
            <w:tcW w:w="58" w:type="dxa"/>
            <w:shd w:val="clear" w:color="auto" w:fill="auto"/>
          </w:tcPr>
          <w:p w:rsidR="00AF493A" w:rsidRPr="00227C94" w:rsidRDefault="00AF493A" w:rsidP="00AF493A">
            <w:pPr>
              <w:pStyle w:val="tblHeaderText"/>
              <w:rPr>
                <w:sz w:val="16"/>
              </w:rPr>
            </w:pPr>
          </w:p>
        </w:tc>
        <w:tc>
          <w:tcPr>
            <w:tcW w:w="927" w:type="dxa"/>
            <w:tcBorders>
              <w:top w:val="single" w:sz="6" w:space="0" w:color="auto"/>
              <w:bottom w:val="single" w:sz="6" w:space="0" w:color="auto"/>
            </w:tcBorders>
            <w:shd w:val="clear" w:color="auto" w:fill="auto"/>
            <w:vAlign w:val="bottom"/>
          </w:tcPr>
          <w:p w:rsidR="00AF493A" w:rsidRPr="00227C94" w:rsidRDefault="00AF493A" w:rsidP="00AF493A">
            <w:pPr>
              <w:pStyle w:val="tblHeaderText"/>
              <w:rPr>
                <w:sz w:val="16"/>
              </w:rPr>
            </w:pPr>
            <w:r w:rsidRPr="00227C94">
              <w:rPr>
                <w:sz w:val="16"/>
              </w:rPr>
              <w:t>Nominal</w:t>
            </w:r>
          </w:p>
          <w:p w:rsidR="00AF493A" w:rsidRPr="00227C94" w:rsidRDefault="00AF493A" w:rsidP="00AF493A">
            <w:pPr>
              <w:pStyle w:val="tblHeaderText"/>
              <w:rPr>
                <w:sz w:val="16"/>
              </w:rPr>
            </w:pPr>
            <w:r w:rsidRPr="00227C94">
              <w:rPr>
                <w:sz w:val="16"/>
              </w:rPr>
              <w:t>rate %</w:t>
            </w:r>
          </w:p>
        </w:tc>
        <w:tc>
          <w:tcPr>
            <w:tcW w:w="58" w:type="dxa"/>
            <w:tcBorders>
              <w:right w:val="nil"/>
            </w:tcBorders>
          </w:tcPr>
          <w:p w:rsidR="00AF493A" w:rsidRPr="00227C94" w:rsidRDefault="00AF493A" w:rsidP="00AF493A">
            <w:pPr>
              <w:pStyle w:val="tblHeaderText"/>
              <w:rPr>
                <w:sz w:val="16"/>
              </w:rPr>
            </w:pPr>
          </w:p>
        </w:tc>
        <w:tc>
          <w:tcPr>
            <w:tcW w:w="927" w:type="dxa"/>
            <w:tcBorders>
              <w:top w:val="single" w:sz="6" w:space="0" w:color="auto"/>
              <w:left w:val="nil"/>
              <w:bottom w:val="single" w:sz="6" w:space="0" w:color="auto"/>
            </w:tcBorders>
            <w:shd w:val="clear" w:color="auto" w:fill="auto"/>
            <w:vAlign w:val="bottom"/>
          </w:tcPr>
          <w:p w:rsidR="00AF493A" w:rsidRPr="00227C94" w:rsidRDefault="00AF493A" w:rsidP="00AF493A">
            <w:pPr>
              <w:pStyle w:val="tblHeaderText"/>
              <w:rPr>
                <w:sz w:val="16"/>
              </w:rPr>
            </w:pPr>
            <w:r w:rsidRPr="00227C94">
              <w:rPr>
                <w:sz w:val="16"/>
              </w:rPr>
              <w:t>Outstanding balance</w:t>
            </w:r>
          </w:p>
        </w:tc>
        <w:tc>
          <w:tcPr>
            <w:tcW w:w="58" w:type="dxa"/>
            <w:tcBorders>
              <w:left w:val="nil"/>
            </w:tcBorders>
            <w:shd w:val="clear" w:color="auto" w:fill="auto"/>
          </w:tcPr>
          <w:p w:rsidR="00AF493A" w:rsidRPr="00227C94" w:rsidRDefault="00AF493A" w:rsidP="00AF493A">
            <w:pPr>
              <w:pStyle w:val="tblHeaderText"/>
              <w:rPr>
                <w:sz w:val="16"/>
              </w:rPr>
            </w:pPr>
          </w:p>
        </w:tc>
        <w:tc>
          <w:tcPr>
            <w:tcW w:w="927" w:type="dxa"/>
            <w:tcBorders>
              <w:top w:val="single" w:sz="6" w:space="0" w:color="auto"/>
              <w:left w:val="nil"/>
              <w:bottom w:val="single" w:sz="6" w:space="0" w:color="auto"/>
            </w:tcBorders>
            <w:shd w:val="clear" w:color="auto" w:fill="auto"/>
            <w:vAlign w:val="bottom"/>
          </w:tcPr>
          <w:p w:rsidR="00AF493A" w:rsidRPr="00227C94" w:rsidRDefault="00AF493A" w:rsidP="00AF493A">
            <w:pPr>
              <w:pStyle w:val="tblHeaderText"/>
              <w:rPr>
                <w:sz w:val="16"/>
              </w:rPr>
            </w:pPr>
            <w:r w:rsidRPr="00227C94">
              <w:rPr>
                <w:sz w:val="16"/>
              </w:rPr>
              <w:t>Nominal</w:t>
            </w:r>
          </w:p>
          <w:p w:rsidR="00AF493A" w:rsidRPr="00227C94" w:rsidRDefault="00AF493A" w:rsidP="00AF493A">
            <w:pPr>
              <w:pStyle w:val="tblHeaderText"/>
              <w:rPr>
                <w:sz w:val="16"/>
              </w:rPr>
            </w:pPr>
            <w:r w:rsidRPr="00227C94">
              <w:rPr>
                <w:sz w:val="16"/>
              </w:rPr>
              <w:t>rate %</w:t>
            </w:r>
          </w:p>
        </w:tc>
        <w:tc>
          <w:tcPr>
            <w:tcW w:w="58" w:type="dxa"/>
            <w:tcBorders>
              <w:left w:val="nil"/>
              <w:right w:val="nil"/>
            </w:tcBorders>
          </w:tcPr>
          <w:p w:rsidR="00AF493A" w:rsidRPr="00227C94" w:rsidRDefault="00AF493A" w:rsidP="00AF493A">
            <w:pPr>
              <w:pStyle w:val="tblHeaderText"/>
              <w:rPr>
                <w:sz w:val="16"/>
              </w:rPr>
            </w:pPr>
          </w:p>
        </w:tc>
        <w:tc>
          <w:tcPr>
            <w:tcW w:w="927" w:type="dxa"/>
            <w:tcBorders>
              <w:top w:val="single" w:sz="6" w:space="0" w:color="auto"/>
              <w:left w:val="nil"/>
              <w:bottom w:val="single" w:sz="6" w:space="0" w:color="auto"/>
            </w:tcBorders>
            <w:shd w:val="clear" w:color="auto" w:fill="auto"/>
            <w:vAlign w:val="bottom"/>
          </w:tcPr>
          <w:p w:rsidR="00AF493A" w:rsidRPr="00227C94" w:rsidRDefault="00AF493A" w:rsidP="00AF493A">
            <w:pPr>
              <w:pStyle w:val="tblHeaderText"/>
              <w:rPr>
                <w:sz w:val="16"/>
              </w:rPr>
            </w:pPr>
            <w:r w:rsidRPr="00227C94">
              <w:rPr>
                <w:sz w:val="16"/>
              </w:rPr>
              <w:t>Outstanding balance</w:t>
            </w:r>
          </w:p>
        </w:tc>
      </w:tr>
      <w:tr w:rsidR="00AF493A" w:rsidRPr="00227C94" w:rsidTr="00AF493A">
        <w:trPr>
          <w:cantSplit/>
        </w:trPr>
        <w:tc>
          <w:tcPr>
            <w:tcW w:w="2688" w:type="dxa"/>
            <w:shd w:val="clear" w:color="auto" w:fill="auto"/>
          </w:tcPr>
          <w:p w:rsidR="00AF493A" w:rsidRPr="00227C94" w:rsidRDefault="00AF493A" w:rsidP="00AF493A">
            <w:pPr>
              <w:pStyle w:val="tblText02"/>
              <w:rPr>
                <w:sz w:val="16"/>
              </w:rPr>
            </w:pPr>
          </w:p>
        </w:tc>
        <w:tc>
          <w:tcPr>
            <w:tcW w:w="395" w:type="dxa"/>
            <w:shd w:val="clear" w:color="auto" w:fill="auto"/>
            <w:vAlign w:val="bottom"/>
          </w:tcPr>
          <w:p w:rsidR="00AF493A" w:rsidRPr="00227C94" w:rsidRDefault="00AF493A" w:rsidP="00AF493A">
            <w:pPr>
              <w:pStyle w:val="tblNumber01"/>
              <w:rPr>
                <w:sz w:val="16"/>
              </w:rPr>
            </w:pPr>
          </w:p>
        </w:tc>
        <w:tc>
          <w:tcPr>
            <w:tcW w:w="927" w:type="dxa"/>
            <w:tcBorders>
              <w:top w:val="single" w:sz="6" w:space="0" w:color="auto"/>
            </w:tcBorders>
            <w:shd w:val="clear" w:color="auto" w:fill="auto"/>
            <w:vAlign w:val="bottom"/>
          </w:tcPr>
          <w:p w:rsidR="00AF493A" w:rsidRPr="00227C94" w:rsidRDefault="00AF493A" w:rsidP="00AF493A">
            <w:pPr>
              <w:pStyle w:val="tblNumber01"/>
              <w:rPr>
                <w:sz w:val="16"/>
              </w:rPr>
            </w:pPr>
          </w:p>
        </w:tc>
        <w:tc>
          <w:tcPr>
            <w:tcW w:w="58" w:type="dxa"/>
            <w:vAlign w:val="bottom"/>
          </w:tcPr>
          <w:p w:rsidR="00AF493A" w:rsidRPr="00227C94" w:rsidRDefault="00AF493A" w:rsidP="00AF493A">
            <w:pPr>
              <w:pStyle w:val="tblNumber01"/>
              <w:rPr>
                <w:sz w:val="16"/>
              </w:rPr>
            </w:pPr>
          </w:p>
        </w:tc>
        <w:tc>
          <w:tcPr>
            <w:tcW w:w="927" w:type="dxa"/>
            <w:tcBorders>
              <w:top w:val="single" w:sz="6" w:space="0" w:color="auto"/>
            </w:tcBorders>
            <w:shd w:val="clear" w:color="auto" w:fill="auto"/>
            <w:vAlign w:val="bottom"/>
          </w:tcPr>
          <w:p w:rsidR="00AF493A" w:rsidRPr="00227C94" w:rsidRDefault="00AF493A" w:rsidP="00AF493A">
            <w:pPr>
              <w:pStyle w:val="tblNumber01"/>
              <w:rPr>
                <w:sz w:val="16"/>
              </w:rPr>
            </w:pPr>
          </w:p>
        </w:tc>
        <w:tc>
          <w:tcPr>
            <w:tcW w:w="58" w:type="dxa"/>
            <w:shd w:val="clear" w:color="auto" w:fill="auto"/>
            <w:vAlign w:val="bottom"/>
          </w:tcPr>
          <w:p w:rsidR="00AF493A" w:rsidRPr="00227C94" w:rsidRDefault="00AF493A" w:rsidP="00AF493A">
            <w:pPr>
              <w:pStyle w:val="tblNumber01"/>
              <w:rPr>
                <w:sz w:val="16"/>
              </w:rPr>
            </w:pPr>
          </w:p>
        </w:tc>
        <w:tc>
          <w:tcPr>
            <w:tcW w:w="927" w:type="dxa"/>
            <w:tcBorders>
              <w:top w:val="single" w:sz="6" w:space="0" w:color="auto"/>
            </w:tcBorders>
            <w:shd w:val="clear" w:color="auto" w:fill="auto"/>
            <w:vAlign w:val="bottom"/>
          </w:tcPr>
          <w:p w:rsidR="00AF493A" w:rsidRPr="00227C94" w:rsidRDefault="00AF493A" w:rsidP="00AF493A">
            <w:pPr>
              <w:pStyle w:val="tblNumber01"/>
              <w:rPr>
                <w:sz w:val="16"/>
              </w:rPr>
            </w:pPr>
          </w:p>
        </w:tc>
        <w:tc>
          <w:tcPr>
            <w:tcW w:w="58" w:type="dxa"/>
            <w:tcBorders>
              <w:right w:val="nil"/>
            </w:tcBorders>
            <w:vAlign w:val="bottom"/>
          </w:tcPr>
          <w:p w:rsidR="00AF493A" w:rsidRPr="00227C94" w:rsidRDefault="00AF493A" w:rsidP="00AF493A">
            <w:pPr>
              <w:pStyle w:val="tblNumber01"/>
              <w:rPr>
                <w:sz w:val="16"/>
              </w:rPr>
            </w:pPr>
          </w:p>
        </w:tc>
        <w:tc>
          <w:tcPr>
            <w:tcW w:w="927" w:type="dxa"/>
            <w:tcBorders>
              <w:top w:val="single" w:sz="6" w:space="0" w:color="auto"/>
              <w:left w:val="nil"/>
            </w:tcBorders>
            <w:shd w:val="clear" w:color="auto" w:fill="auto"/>
            <w:vAlign w:val="bottom"/>
          </w:tcPr>
          <w:p w:rsidR="00AF493A" w:rsidRPr="00227C94" w:rsidRDefault="00AF493A" w:rsidP="00AF493A">
            <w:pPr>
              <w:pStyle w:val="tblNumber01"/>
              <w:rPr>
                <w:sz w:val="16"/>
              </w:rPr>
            </w:pPr>
          </w:p>
        </w:tc>
        <w:tc>
          <w:tcPr>
            <w:tcW w:w="58" w:type="dxa"/>
            <w:tcBorders>
              <w:left w:val="nil"/>
            </w:tcBorders>
            <w:shd w:val="clear" w:color="auto" w:fill="auto"/>
            <w:vAlign w:val="bottom"/>
          </w:tcPr>
          <w:p w:rsidR="00AF493A" w:rsidRPr="00227C94" w:rsidRDefault="00AF493A" w:rsidP="00AF493A">
            <w:pPr>
              <w:pStyle w:val="tblNumber01"/>
              <w:rPr>
                <w:sz w:val="16"/>
              </w:rPr>
            </w:pPr>
          </w:p>
        </w:tc>
        <w:tc>
          <w:tcPr>
            <w:tcW w:w="927" w:type="dxa"/>
            <w:tcBorders>
              <w:top w:val="single" w:sz="6" w:space="0" w:color="auto"/>
              <w:left w:val="nil"/>
            </w:tcBorders>
            <w:shd w:val="clear" w:color="auto" w:fill="auto"/>
            <w:vAlign w:val="bottom"/>
          </w:tcPr>
          <w:p w:rsidR="00AF493A" w:rsidRPr="00227C94" w:rsidRDefault="00AF493A" w:rsidP="00AF493A">
            <w:pPr>
              <w:pStyle w:val="tblNumber01"/>
              <w:rPr>
                <w:sz w:val="16"/>
              </w:rPr>
            </w:pPr>
          </w:p>
        </w:tc>
        <w:tc>
          <w:tcPr>
            <w:tcW w:w="58" w:type="dxa"/>
            <w:tcBorders>
              <w:left w:val="nil"/>
              <w:right w:val="nil"/>
            </w:tcBorders>
            <w:vAlign w:val="bottom"/>
          </w:tcPr>
          <w:p w:rsidR="00AF493A" w:rsidRPr="00227C94" w:rsidRDefault="00AF493A" w:rsidP="00AF493A">
            <w:pPr>
              <w:pStyle w:val="tblNumber01"/>
              <w:rPr>
                <w:sz w:val="16"/>
              </w:rPr>
            </w:pPr>
          </w:p>
        </w:tc>
        <w:tc>
          <w:tcPr>
            <w:tcW w:w="927" w:type="dxa"/>
            <w:tcBorders>
              <w:top w:val="single" w:sz="6" w:space="0" w:color="auto"/>
              <w:left w:val="nil"/>
            </w:tcBorders>
            <w:shd w:val="clear" w:color="auto" w:fill="auto"/>
            <w:vAlign w:val="bottom"/>
          </w:tcPr>
          <w:p w:rsidR="00AF493A" w:rsidRPr="00227C94" w:rsidRDefault="00AF493A" w:rsidP="00AF493A">
            <w:pPr>
              <w:pStyle w:val="tblNumber01"/>
              <w:rPr>
                <w:sz w:val="16"/>
              </w:rPr>
            </w:pPr>
          </w:p>
        </w:tc>
      </w:tr>
      <w:tr w:rsidR="00AF493A" w:rsidRPr="00227C94" w:rsidTr="00AF493A">
        <w:trPr>
          <w:cantSplit/>
        </w:trPr>
        <w:tc>
          <w:tcPr>
            <w:tcW w:w="2688" w:type="dxa"/>
            <w:vAlign w:val="bottom"/>
          </w:tcPr>
          <w:p w:rsidR="00AF493A" w:rsidRPr="00227C94" w:rsidRDefault="00AF493A" w:rsidP="00AF493A">
            <w:pPr>
              <w:pStyle w:val="tblText05"/>
              <w:ind w:left="113"/>
              <w:rPr>
                <w:sz w:val="16"/>
              </w:rPr>
            </w:pPr>
            <w:r w:rsidRPr="00227C94">
              <w:rPr>
                <w:sz w:val="16"/>
              </w:rPr>
              <w:t>Guaranteed senior notes</w:t>
            </w:r>
          </w:p>
        </w:tc>
        <w:tc>
          <w:tcPr>
            <w:tcW w:w="395" w:type="dxa"/>
            <w:vAlign w:val="bottom"/>
          </w:tcPr>
          <w:p w:rsidR="00AF493A" w:rsidRPr="00227C94" w:rsidRDefault="00AF493A" w:rsidP="00AF493A">
            <w:pPr>
              <w:pStyle w:val="tblText00"/>
              <w:jc w:val="center"/>
              <w:rPr>
                <w:sz w:val="16"/>
              </w:rPr>
            </w:pPr>
            <w:r w:rsidRPr="00227C94">
              <w:rPr>
                <w:sz w:val="16"/>
              </w:rPr>
              <w:t>(i)</w:t>
            </w:r>
          </w:p>
        </w:tc>
        <w:tc>
          <w:tcPr>
            <w:tcW w:w="927" w:type="dxa"/>
            <w:vAlign w:val="bottom"/>
          </w:tcPr>
          <w:p w:rsidR="00AF493A" w:rsidRPr="00227C94" w:rsidRDefault="00AF493A" w:rsidP="00AF493A">
            <w:pPr>
              <w:pStyle w:val="tblNumberDash"/>
              <w:rPr>
                <w:sz w:val="16"/>
              </w:rPr>
            </w:pPr>
            <w:r w:rsidRPr="00227C94">
              <w:rPr>
                <w:sz w:val="16"/>
              </w:rPr>
              <w:t>-</w:t>
            </w: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Dash"/>
              <w:rPr>
                <w:sz w:val="16"/>
              </w:rPr>
            </w:pPr>
            <w:r w:rsidRPr="00227C94">
              <w:rPr>
                <w:sz w:val="16"/>
              </w:rPr>
              <w:t>-</w:t>
            </w: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01"/>
              <w:rPr>
                <w:sz w:val="16"/>
              </w:rPr>
            </w:pPr>
            <w:r w:rsidRPr="00227C94">
              <w:rPr>
                <w:sz w:val="16"/>
              </w:rPr>
              <w:t>9.37%</w:t>
            </w:r>
          </w:p>
        </w:tc>
        <w:tc>
          <w:tcPr>
            <w:tcW w:w="58" w:type="dxa"/>
            <w:tcBorders>
              <w:righ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r w:rsidRPr="00227C94">
              <w:rPr>
                <w:sz w:val="16"/>
              </w:rPr>
              <w:t>178,047</w:t>
            </w:r>
          </w:p>
        </w:tc>
        <w:tc>
          <w:tcPr>
            <w:tcW w:w="58" w:type="dxa"/>
            <w:tcBorders>
              <w:lef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r w:rsidRPr="00227C94">
              <w:rPr>
                <w:sz w:val="16"/>
              </w:rPr>
              <w:t>9.875%</w:t>
            </w:r>
          </w:p>
        </w:tc>
        <w:tc>
          <w:tcPr>
            <w:tcW w:w="58" w:type="dxa"/>
            <w:tcBorders>
              <w:left w:val="nil"/>
              <w:righ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r w:rsidRPr="00227C94">
              <w:rPr>
                <w:sz w:val="16"/>
              </w:rPr>
              <w:t>204,520</w:t>
            </w:r>
          </w:p>
        </w:tc>
      </w:tr>
      <w:tr w:rsidR="00AF493A" w:rsidRPr="00227C94" w:rsidTr="00AF493A">
        <w:trPr>
          <w:cantSplit/>
        </w:trPr>
        <w:tc>
          <w:tcPr>
            <w:tcW w:w="2688" w:type="dxa"/>
            <w:vAlign w:val="bottom"/>
          </w:tcPr>
          <w:p w:rsidR="00AF493A" w:rsidRPr="00227C94" w:rsidRDefault="00AF493A" w:rsidP="00AF493A">
            <w:pPr>
              <w:pStyle w:val="tblText05"/>
              <w:ind w:left="113"/>
              <w:rPr>
                <w:sz w:val="16"/>
                <w:lang w:val="en-US"/>
              </w:rPr>
            </w:pPr>
            <w:r w:rsidRPr="00227C94">
              <w:rPr>
                <w:sz w:val="16"/>
                <w:lang w:val="en-US"/>
              </w:rPr>
              <w:t>Loans payable to Gold Lion Holdings Limited</w:t>
            </w:r>
          </w:p>
        </w:tc>
        <w:tc>
          <w:tcPr>
            <w:tcW w:w="395" w:type="dxa"/>
            <w:vAlign w:val="bottom"/>
          </w:tcPr>
          <w:p w:rsidR="00AF493A" w:rsidRPr="00227C94" w:rsidRDefault="00AF493A" w:rsidP="00AF493A">
            <w:pPr>
              <w:pStyle w:val="tblText00"/>
              <w:jc w:val="center"/>
              <w:rPr>
                <w:sz w:val="16"/>
              </w:rPr>
            </w:pPr>
            <w:r w:rsidRPr="00227C94">
              <w:rPr>
                <w:sz w:val="16"/>
              </w:rPr>
              <w:t>(ii)</w:t>
            </w:r>
          </w:p>
        </w:tc>
        <w:tc>
          <w:tcPr>
            <w:tcW w:w="927" w:type="dxa"/>
            <w:vAlign w:val="bottom"/>
          </w:tcPr>
          <w:p w:rsidR="00AF493A" w:rsidRPr="00227C94" w:rsidRDefault="00AF493A" w:rsidP="00AF493A">
            <w:pPr>
              <w:pStyle w:val="tblNumber01"/>
              <w:rPr>
                <w:sz w:val="16"/>
              </w:rPr>
            </w:pPr>
            <w:r w:rsidRPr="00227C94">
              <w:rPr>
                <w:sz w:val="16"/>
              </w:rPr>
              <w:t>10.00%</w:t>
            </w: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01"/>
              <w:rPr>
                <w:sz w:val="16"/>
              </w:rPr>
            </w:pPr>
            <w:r w:rsidRPr="00227C94">
              <w:rPr>
                <w:sz w:val="16"/>
              </w:rPr>
              <w:t>37,072</w:t>
            </w: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01"/>
              <w:rPr>
                <w:sz w:val="16"/>
              </w:rPr>
            </w:pPr>
            <w:r w:rsidRPr="00227C94">
              <w:rPr>
                <w:sz w:val="16"/>
              </w:rPr>
              <w:t>10.00%</w:t>
            </w:r>
          </w:p>
        </w:tc>
        <w:tc>
          <w:tcPr>
            <w:tcW w:w="58" w:type="dxa"/>
            <w:tcBorders>
              <w:righ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r w:rsidRPr="00227C94">
              <w:rPr>
                <w:sz w:val="16"/>
              </w:rPr>
              <w:t>31,922</w:t>
            </w:r>
          </w:p>
        </w:tc>
        <w:tc>
          <w:tcPr>
            <w:tcW w:w="58" w:type="dxa"/>
            <w:tcBorders>
              <w:lef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r w:rsidRPr="00227C94">
              <w:rPr>
                <w:sz w:val="16"/>
              </w:rPr>
              <w:t>10.00%</w:t>
            </w:r>
          </w:p>
        </w:tc>
        <w:tc>
          <w:tcPr>
            <w:tcW w:w="58" w:type="dxa"/>
            <w:tcBorders>
              <w:left w:val="nil"/>
              <w:righ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r w:rsidRPr="00227C94">
              <w:rPr>
                <w:sz w:val="16"/>
              </w:rPr>
              <w:t>34,160</w:t>
            </w:r>
          </w:p>
        </w:tc>
      </w:tr>
      <w:tr w:rsidR="00AF493A" w:rsidRPr="00227C94" w:rsidTr="00AF493A">
        <w:trPr>
          <w:cantSplit/>
        </w:trPr>
        <w:tc>
          <w:tcPr>
            <w:tcW w:w="2688" w:type="dxa"/>
            <w:vAlign w:val="bottom"/>
          </w:tcPr>
          <w:p w:rsidR="00AF493A" w:rsidRPr="00227C94" w:rsidRDefault="00AF493A" w:rsidP="00AF493A">
            <w:pPr>
              <w:pStyle w:val="tblText05"/>
              <w:ind w:left="113"/>
              <w:rPr>
                <w:sz w:val="16"/>
              </w:rPr>
            </w:pPr>
            <w:r w:rsidRPr="00227C94">
              <w:rPr>
                <w:sz w:val="16"/>
              </w:rPr>
              <w:t>Societe Generale credit facility</w:t>
            </w:r>
          </w:p>
        </w:tc>
        <w:tc>
          <w:tcPr>
            <w:tcW w:w="395" w:type="dxa"/>
            <w:vAlign w:val="bottom"/>
          </w:tcPr>
          <w:p w:rsidR="00AF493A" w:rsidRPr="00227C94" w:rsidRDefault="00AF493A" w:rsidP="00AF493A">
            <w:pPr>
              <w:pStyle w:val="tblText00"/>
              <w:jc w:val="center"/>
              <w:rPr>
                <w:sz w:val="16"/>
              </w:rPr>
            </w:pPr>
            <w:r w:rsidRPr="00227C94">
              <w:rPr>
                <w:sz w:val="16"/>
              </w:rPr>
              <w:t>(iii)</w:t>
            </w:r>
          </w:p>
        </w:tc>
        <w:tc>
          <w:tcPr>
            <w:tcW w:w="927" w:type="dxa"/>
            <w:vAlign w:val="bottom"/>
          </w:tcPr>
          <w:p w:rsidR="00AF493A" w:rsidRPr="00227C94" w:rsidRDefault="00AF493A" w:rsidP="00AF493A">
            <w:pPr>
              <w:pStyle w:val="tblNumberDash"/>
              <w:rPr>
                <w:sz w:val="16"/>
              </w:rPr>
            </w:pPr>
            <w:r w:rsidRPr="00227C94">
              <w:rPr>
                <w:sz w:val="16"/>
              </w:rPr>
              <w:t>-</w:t>
            </w: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Dash"/>
              <w:rPr>
                <w:sz w:val="16"/>
              </w:rPr>
            </w:pPr>
            <w:r w:rsidRPr="00227C94">
              <w:rPr>
                <w:sz w:val="16"/>
              </w:rPr>
              <w:t>-</w:t>
            </w: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Dash"/>
              <w:rPr>
                <w:sz w:val="16"/>
              </w:rPr>
            </w:pPr>
            <w:r w:rsidRPr="00227C94">
              <w:rPr>
                <w:sz w:val="16"/>
              </w:rPr>
              <w:t>-</w:t>
            </w:r>
          </w:p>
        </w:tc>
        <w:tc>
          <w:tcPr>
            <w:tcW w:w="58" w:type="dxa"/>
            <w:tcBorders>
              <w:righ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Dash"/>
              <w:rPr>
                <w:sz w:val="16"/>
              </w:rPr>
            </w:pPr>
            <w:r w:rsidRPr="00227C94">
              <w:rPr>
                <w:sz w:val="16"/>
              </w:rPr>
              <w:t>-</w:t>
            </w:r>
          </w:p>
        </w:tc>
        <w:tc>
          <w:tcPr>
            <w:tcW w:w="58" w:type="dxa"/>
            <w:tcBorders>
              <w:lef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r w:rsidRPr="00227C94">
              <w:rPr>
                <w:sz w:val="16"/>
              </w:rPr>
              <w:t>1 months USD LIBOR + 1.95%</w:t>
            </w:r>
          </w:p>
        </w:tc>
        <w:tc>
          <w:tcPr>
            <w:tcW w:w="58" w:type="dxa"/>
            <w:tcBorders>
              <w:left w:val="nil"/>
              <w:righ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r w:rsidRPr="00227C94">
              <w:rPr>
                <w:sz w:val="16"/>
              </w:rPr>
              <w:t>230,000</w:t>
            </w:r>
          </w:p>
        </w:tc>
      </w:tr>
      <w:tr w:rsidR="00AF493A" w:rsidRPr="00227C94" w:rsidTr="00AF493A">
        <w:trPr>
          <w:cantSplit/>
        </w:trPr>
        <w:tc>
          <w:tcPr>
            <w:tcW w:w="2688" w:type="dxa"/>
            <w:vAlign w:val="bottom"/>
          </w:tcPr>
          <w:p w:rsidR="00AF493A" w:rsidRPr="00227C94" w:rsidRDefault="00AF493A" w:rsidP="00AF493A">
            <w:pPr>
              <w:pStyle w:val="tblText05"/>
              <w:ind w:left="113"/>
              <w:rPr>
                <w:sz w:val="16"/>
              </w:rPr>
            </w:pPr>
            <w:r w:rsidRPr="00227C94">
              <w:rPr>
                <w:sz w:val="16"/>
              </w:rPr>
              <w:t>VTB credit facility</w:t>
            </w:r>
          </w:p>
        </w:tc>
        <w:tc>
          <w:tcPr>
            <w:tcW w:w="395" w:type="dxa"/>
            <w:vAlign w:val="bottom"/>
          </w:tcPr>
          <w:p w:rsidR="00AF493A" w:rsidRPr="00227C94" w:rsidRDefault="00AF493A" w:rsidP="00AF493A">
            <w:pPr>
              <w:pStyle w:val="tblText00"/>
              <w:jc w:val="center"/>
              <w:rPr>
                <w:sz w:val="16"/>
              </w:rPr>
            </w:pPr>
            <w:r w:rsidRPr="00227C94">
              <w:rPr>
                <w:sz w:val="16"/>
              </w:rPr>
              <w:t>(iv)</w:t>
            </w:r>
          </w:p>
        </w:tc>
        <w:tc>
          <w:tcPr>
            <w:tcW w:w="927" w:type="dxa"/>
            <w:vAlign w:val="bottom"/>
          </w:tcPr>
          <w:p w:rsidR="00AF493A" w:rsidRPr="00227C94" w:rsidRDefault="00AF493A" w:rsidP="00AF493A">
            <w:pPr>
              <w:pStyle w:val="tblNumberDash"/>
              <w:rPr>
                <w:sz w:val="16"/>
              </w:rPr>
            </w:pPr>
            <w:r w:rsidRPr="00227C94">
              <w:rPr>
                <w:sz w:val="16"/>
              </w:rPr>
              <w:t>-</w:t>
            </w: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Dash"/>
              <w:rPr>
                <w:sz w:val="16"/>
              </w:rPr>
            </w:pPr>
            <w:r w:rsidRPr="00227C94">
              <w:rPr>
                <w:sz w:val="16"/>
              </w:rPr>
              <w:t>-</w:t>
            </w: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Dash"/>
              <w:rPr>
                <w:sz w:val="16"/>
              </w:rPr>
            </w:pPr>
            <w:r w:rsidRPr="00227C94">
              <w:rPr>
                <w:sz w:val="16"/>
              </w:rPr>
              <w:t>-</w:t>
            </w:r>
          </w:p>
        </w:tc>
        <w:tc>
          <w:tcPr>
            <w:tcW w:w="58" w:type="dxa"/>
            <w:tcBorders>
              <w:righ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Dash"/>
              <w:rPr>
                <w:sz w:val="16"/>
              </w:rPr>
            </w:pPr>
            <w:r w:rsidRPr="00227C94">
              <w:rPr>
                <w:sz w:val="16"/>
              </w:rPr>
              <w:t>-</w:t>
            </w:r>
          </w:p>
        </w:tc>
        <w:tc>
          <w:tcPr>
            <w:tcW w:w="58" w:type="dxa"/>
            <w:tcBorders>
              <w:lef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r w:rsidRPr="00227C94">
              <w:rPr>
                <w:sz w:val="16"/>
              </w:rPr>
              <w:t>3 months USD LIBOR + 2.25%</w:t>
            </w:r>
          </w:p>
        </w:tc>
        <w:tc>
          <w:tcPr>
            <w:tcW w:w="58" w:type="dxa"/>
            <w:tcBorders>
              <w:left w:val="nil"/>
              <w:righ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r w:rsidRPr="00227C94">
              <w:rPr>
                <w:sz w:val="16"/>
              </w:rPr>
              <w:t>230,000</w:t>
            </w:r>
          </w:p>
        </w:tc>
      </w:tr>
      <w:tr w:rsidR="00AF493A" w:rsidRPr="00227C94" w:rsidTr="00AF493A">
        <w:trPr>
          <w:cantSplit/>
        </w:trPr>
        <w:tc>
          <w:tcPr>
            <w:tcW w:w="2688" w:type="dxa"/>
            <w:vAlign w:val="bottom"/>
          </w:tcPr>
          <w:p w:rsidR="00AF493A" w:rsidRPr="00227C94" w:rsidRDefault="00AF493A" w:rsidP="00AF493A">
            <w:pPr>
              <w:pStyle w:val="tblText05"/>
              <w:ind w:left="113"/>
              <w:rPr>
                <w:sz w:val="16"/>
                <w:lang w:val="en-US"/>
              </w:rPr>
            </w:pPr>
            <w:r w:rsidRPr="00227C94">
              <w:rPr>
                <w:sz w:val="16"/>
                <w:lang w:val="en-US"/>
              </w:rPr>
              <w:t xml:space="preserve">Societe Generale credit facility </w:t>
            </w:r>
            <w:r w:rsidRPr="00227C94">
              <w:rPr>
                <w:sz w:val="16"/>
                <w:lang w:val="en-US"/>
              </w:rPr>
              <w:br/>
              <w:t>(OJSC “Pervenets”)</w:t>
            </w:r>
          </w:p>
        </w:tc>
        <w:tc>
          <w:tcPr>
            <w:tcW w:w="395" w:type="dxa"/>
            <w:vAlign w:val="bottom"/>
          </w:tcPr>
          <w:p w:rsidR="00AF493A" w:rsidRPr="00227C94" w:rsidRDefault="00AF493A" w:rsidP="00AF493A">
            <w:pPr>
              <w:pStyle w:val="tblText00"/>
              <w:jc w:val="center"/>
              <w:rPr>
                <w:sz w:val="16"/>
              </w:rPr>
            </w:pPr>
            <w:r w:rsidRPr="00227C94">
              <w:rPr>
                <w:sz w:val="16"/>
              </w:rPr>
              <w:t>(v)</w:t>
            </w:r>
          </w:p>
        </w:tc>
        <w:tc>
          <w:tcPr>
            <w:tcW w:w="927" w:type="dxa"/>
            <w:vAlign w:val="bottom"/>
          </w:tcPr>
          <w:p w:rsidR="00AF493A" w:rsidRPr="00227C94" w:rsidRDefault="00AF493A" w:rsidP="00AF493A">
            <w:pPr>
              <w:pStyle w:val="tblNumber01"/>
              <w:rPr>
                <w:sz w:val="16"/>
              </w:rPr>
            </w:pPr>
            <w:r w:rsidRPr="00227C94">
              <w:rPr>
                <w:sz w:val="16"/>
              </w:rPr>
              <w:t>3 months USD LIBOR + 2.4%</w:t>
            </w:r>
          </w:p>
        </w:tc>
        <w:tc>
          <w:tcPr>
            <w:tcW w:w="58" w:type="dxa"/>
            <w:vAlign w:val="bottom"/>
          </w:tcPr>
          <w:p w:rsidR="00AF493A" w:rsidRPr="00227C94" w:rsidRDefault="00AF493A" w:rsidP="00AF493A">
            <w:pPr>
              <w:pStyle w:val="tblNumber01"/>
              <w:rPr>
                <w:sz w:val="16"/>
              </w:rPr>
            </w:pPr>
          </w:p>
        </w:tc>
        <w:tc>
          <w:tcPr>
            <w:tcW w:w="927" w:type="dxa"/>
            <w:shd w:val="clear" w:color="auto" w:fill="auto"/>
            <w:vAlign w:val="bottom"/>
          </w:tcPr>
          <w:p w:rsidR="00AF493A" w:rsidRPr="00227C94" w:rsidRDefault="00AF493A" w:rsidP="00AF493A">
            <w:pPr>
              <w:pStyle w:val="tblNumber01"/>
              <w:rPr>
                <w:sz w:val="16"/>
              </w:rPr>
            </w:pPr>
            <w:r w:rsidRPr="00227C94">
              <w:rPr>
                <w:sz w:val="16"/>
              </w:rPr>
              <w:t>50,000</w:t>
            </w: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Dash"/>
              <w:rPr>
                <w:sz w:val="16"/>
              </w:rPr>
            </w:pPr>
            <w:r w:rsidRPr="00227C94">
              <w:rPr>
                <w:sz w:val="16"/>
              </w:rPr>
              <w:t>-</w:t>
            </w:r>
          </w:p>
        </w:tc>
        <w:tc>
          <w:tcPr>
            <w:tcW w:w="58" w:type="dxa"/>
            <w:tcBorders>
              <w:right w:val="nil"/>
            </w:tcBorders>
            <w:vAlign w:val="bottom"/>
          </w:tcPr>
          <w:p w:rsidR="00AF493A" w:rsidRPr="00227C94" w:rsidRDefault="00AF493A" w:rsidP="00AF493A">
            <w:pPr>
              <w:pStyle w:val="tblNumber01"/>
              <w:rPr>
                <w:sz w:val="16"/>
              </w:rPr>
            </w:pPr>
          </w:p>
        </w:tc>
        <w:tc>
          <w:tcPr>
            <w:tcW w:w="927" w:type="dxa"/>
            <w:tcBorders>
              <w:left w:val="nil"/>
            </w:tcBorders>
            <w:shd w:val="clear" w:color="auto" w:fill="auto"/>
            <w:vAlign w:val="bottom"/>
          </w:tcPr>
          <w:p w:rsidR="00AF493A" w:rsidRPr="00227C94" w:rsidRDefault="00AF493A" w:rsidP="00AF493A">
            <w:pPr>
              <w:pStyle w:val="tblNumberDash"/>
              <w:rPr>
                <w:sz w:val="16"/>
              </w:rPr>
            </w:pPr>
            <w:r w:rsidRPr="00227C94">
              <w:rPr>
                <w:sz w:val="16"/>
              </w:rPr>
              <w:t>-</w:t>
            </w:r>
          </w:p>
        </w:tc>
        <w:tc>
          <w:tcPr>
            <w:tcW w:w="58" w:type="dxa"/>
            <w:tcBorders>
              <w:lef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r w:rsidRPr="00227C94">
              <w:rPr>
                <w:sz w:val="16"/>
              </w:rPr>
              <w:t>3 months USD LIBOR + 2.4%</w:t>
            </w:r>
          </w:p>
        </w:tc>
        <w:tc>
          <w:tcPr>
            <w:tcW w:w="58" w:type="dxa"/>
            <w:tcBorders>
              <w:left w:val="nil"/>
              <w:righ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r w:rsidRPr="00227C94">
              <w:rPr>
                <w:sz w:val="16"/>
              </w:rPr>
              <w:t>50,000</w:t>
            </w:r>
          </w:p>
        </w:tc>
      </w:tr>
      <w:tr w:rsidR="00AF493A" w:rsidRPr="00227C94" w:rsidTr="00AF493A">
        <w:trPr>
          <w:cantSplit/>
        </w:trPr>
        <w:tc>
          <w:tcPr>
            <w:tcW w:w="2688" w:type="dxa"/>
            <w:vAlign w:val="bottom"/>
          </w:tcPr>
          <w:p w:rsidR="00AF493A" w:rsidRPr="00227C94" w:rsidRDefault="00AF493A" w:rsidP="00AF493A">
            <w:pPr>
              <w:pStyle w:val="tblText05"/>
              <w:ind w:left="113"/>
              <w:rPr>
                <w:sz w:val="16"/>
                <w:lang w:val="en-US"/>
              </w:rPr>
            </w:pPr>
            <w:r w:rsidRPr="00227C94">
              <w:rPr>
                <w:sz w:val="16"/>
                <w:lang w:val="en-US"/>
              </w:rPr>
              <w:t xml:space="preserve">Unicredit Bank credit facility </w:t>
            </w:r>
            <w:r w:rsidRPr="00227C94">
              <w:rPr>
                <w:sz w:val="16"/>
                <w:lang w:val="en-US"/>
              </w:rPr>
              <w:br/>
              <w:t>(OJSC “Pervenets”)</w:t>
            </w:r>
          </w:p>
        </w:tc>
        <w:tc>
          <w:tcPr>
            <w:tcW w:w="395" w:type="dxa"/>
            <w:vAlign w:val="bottom"/>
          </w:tcPr>
          <w:p w:rsidR="00AF493A" w:rsidRPr="00227C94" w:rsidRDefault="00AF493A" w:rsidP="00AF493A">
            <w:pPr>
              <w:pStyle w:val="tblText00"/>
              <w:jc w:val="center"/>
              <w:rPr>
                <w:sz w:val="16"/>
              </w:rPr>
            </w:pPr>
            <w:r w:rsidRPr="00227C94">
              <w:rPr>
                <w:sz w:val="16"/>
              </w:rPr>
              <w:t>(vi)</w:t>
            </w:r>
          </w:p>
        </w:tc>
        <w:tc>
          <w:tcPr>
            <w:tcW w:w="927" w:type="dxa"/>
            <w:vAlign w:val="bottom"/>
          </w:tcPr>
          <w:p w:rsidR="00AF493A" w:rsidRPr="00227C94" w:rsidRDefault="00AF493A" w:rsidP="00AF493A">
            <w:pPr>
              <w:pStyle w:val="tblNumber01"/>
              <w:rPr>
                <w:sz w:val="16"/>
              </w:rPr>
            </w:pPr>
            <w:r w:rsidRPr="00227C94">
              <w:rPr>
                <w:sz w:val="16"/>
              </w:rPr>
              <w:t>3 months USD LIBOR + 2.4%</w:t>
            </w:r>
          </w:p>
        </w:tc>
        <w:tc>
          <w:tcPr>
            <w:tcW w:w="58" w:type="dxa"/>
            <w:vAlign w:val="bottom"/>
          </w:tcPr>
          <w:p w:rsidR="00AF493A" w:rsidRPr="00227C94" w:rsidRDefault="00AF493A" w:rsidP="00AF493A">
            <w:pPr>
              <w:pStyle w:val="tblNumber01"/>
              <w:rPr>
                <w:sz w:val="16"/>
              </w:rPr>
            </w:pPr>
          </w:p>
        </w:tc>
        <w:tc>
          <w:tcPr>
            <w:tcW w:w="927" w:type="dxa"/>
            <w:shd w:val="clear" w:color="auto" w:fill="auto"/>
            <w:vAlign w:val="bottom"/>
          </w:tcPr>
          <w:p w:rsidR="00AF493A" w:rsidRPr="00227C94" w:rsidRDefault="00AF493A" w:rsidP="00AF493A">
            <w:pPr>
              <w:pStyle w:val="tblNumber01"/>
              <w:rPr>
                <w:sz w:val="16"/>
              </w:rPr>
            </w:pPr>
            <w:r w:rsidRPr="00227C94">
              <w:rPr>
                <w:sz w:val="16"/>
              </w:rPr>
              <w:t>50,000</w:t>
            </w: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01"/>
              <w:rPr>
                <w:sz w:val="16"/>
              </w:rPr>
            </w:pPr>
          </w:p>
        </w:tc>
        <w:tc>
          <w:tcPr>
            <w:tcW w:w="58" w:type="dxa"/>
            <w:tcBorders>
              <w:right w:val="nil"/>
            </w:tcBorders>
            <w:vAlign w:val="bottom"/>
          </w:tcPr>
          <w:p w:rsidR="00AF493A" w:rsidRPr="00227C94" w:rsidRDefault="00AF493A" w:rsidP="00AF493A">
            <w:pPr>
              <w:pStyle w:val="tblNumber01"/>
              <w:rPr>
                <w:sz w:val="16"/>
              </w:rPr>
            </w:pPr>
          </w:p>
        </w:tc>
        <w:tc>
          <w:tcPr>
            <w:tcW w:w="927" w:type="dxa"/>
            <w:tcBorders>
              <w:left w:val="nil"/>
            </w:tcBorders>
            <w:shd w:val="clear" w:color="auto" w:fill="auto"/>
            <w:vAlign w:val="bottom"/>
          </w:tcPr>
          <w:p w:rsidR="00AF493A" w:rsidRPr="00227C94" w:rsidRDefault="00AF493A" w:rsidP="00AF493A">
            <w:pPr>
              <w:pStyle w:val="tblNumberDash"/>
              <w:rPr>
                <w:sz w:val="16"/>
              </w:rPr>
            </w:pPr>
            <w:r w:rsidRPr="00227C94">
              <w:rPr>
                <w:sz w:val="16"/>
              </w:rPr>
              <w:t>-</w:t>
            </w:r>
          </w:p>
        </w:tc>
        <w:tc>
          <w:tcPr>
            <w:tcW w:w="58" w:type="dxa"/>
            <w:tcBorders>
              <w:lef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r w:rsidRPr="00227C94">
              <w:rPr>
                <w:sz w:val="16"/>
              </w:rPr>
              <w:t>3 months USD LIBOR + 2.4%</w:t>
            </w:r>
          </w:p>
        </w:tc>
        <w:tc>
          <w:tcPr>
            <w:tcW w:w="58" w:type="dxa"/>
            <w:tcBorders>
              <w:left w:val="nil"/>
              <w:righ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r w:rsidRPr="00227C94">
              <w:rPr>
                <w:sz w:val="16"/>
              </w:rPr>
              <w:t>50,000</w:t>
            </w:r>
          </w:p>
        </w:tc>
      </w:tr>
      <w:tr w:rsidR="00AF493A" w:rsidRPr="00227C94" w:rsidTr="00A701F4">
        <w:trPr>
          <w:cantSplit/>
        </w:trPr>
        <w:tc>
          <w:tcPr>
            <w:tcW w:w="2688" w:type="dxa"/>
            <w:vAlign w:val="bottom"/>
          </w:tcPr>
          <w:p w:rsidR="00AF493A" w:rsidRPr="00227C94" w:rsidRDefault="00AF493A" w:rsidP="00AF493A">
            <w:pPr>
              <w:pStyle w:val="tblText05"/>
              <w:ind w:left="113"/>
              <w:rPr>
                <w:sz w:val="16"/>
              </w:rPr>
            </w:pPr>
            <w:r w:rsidRPr="00227C94">
              <w:rPr>
                <w:sz w:val="16"/>
              </w:rPr>
              <w:t>HSBC credit facility</w:t>
            </w:r>
          </w:p>
        </w:tc>
        <w:tc>
          <w:tcPr>
            <w:tcW w:w="395" w:type="dxa"/>
            <w:vAlign w:val="bottom"/>
          </w:tcPr>
          <w:p w:rsidR="00AF493A" w:rsidRPr="00227C94" w:rsidRDefault="00AF493A" w:rsidP="00AF493A">
            <w:pPr>
              <w:pStyle w:val="tblText00"/>
              <w:jc w:val="center"/>
              <w:rPr>
                <w:sz w:val="16"/>
              </w:rPr>
            </w:pPr>
            <w:r w:rsidRPr="00227C94">
              <w:rPr>
                <w:sz w:val="16"/>
              </w:rPr>
              <w:t>(vii)</w:t>
            </w:r>
          </w:p>
        </w:tc>
        <w:tc>
          <w:tcPr>
            <w:tcW w:w="927" w:type="dxa"/>
            <w:vAlign w:val="bottom"/>
          </w:tcPr>
          <w:p w:rsidR="00AF493A" w:rsidRPr="00227C94" w:rsidRDefault="00AF493A" w:rsidP="00AF493A">
            <w:pPr>
              <w:pStyle w:val="tblNumber01"/>
              <w:rPr>
                <w:sz w:val="16"/>
              </w:rPr>
            </w:pPr>
            <w:r w:rsidRPr="00227C94">
              <w:rPr>
                <w:sz w:val="16"/>
              </w:rPr>
              <w:t>3 months USD LIBOR+3%.</w:t>
            </w:r>
          </w:p>
        </w:tc>
        <w:tc>
          <w:tcPr>
            <w:tcW w:w="58" w:type="dxa"/>
            <w:vAlign w:val="bottom"/>
          </w:tcPr>
          <w:p w:rsidR="00AF493A" w:rsidRPr="00227C94" w:rsidRDefault="00AF493A" w:rsidP="00AF493A">
            <w:pPr>
              <w:pStyle w:val="tblNumber01"/>
              <w:rPr>
                <w:sz w:val="16"/>
              </w:rPr>
            </w:pPr>
          </w:p>
        </w:tc>
        <w:tc>
          <w:tcPr>
            <w:tcW w:w="927" w:type="dxa"/>
            <w:shd w:val="clear" w:color="auto" w:fill="auto"/>
            <w:vAlign w:val="bottom"/>
          </w:tcPr>
          <w:p w:rsidR="00AF493A" w:rsidRPr="00227C94" w:rsidRDefault="00AF493A" w:rsidP="00AF493A">
            <w:pPr>
              <w:pStyle w:val="tblNumber01"/>
              <w:rPr>
                <w:sz w:val="16"/>
              </w:rPr>
            </w:pPr>
            <w:r w:rsidRPr="00227C94">
              <w:rPr>
                <w:sz w:val="16"/>
              </w:rPr>
              <w:t>99,125</w:t>
            </w: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Dash"/>
              <w:rPr>
                <w:sz w:val="16"/>
              </w:rPr>
            </w:pPr>
            <w:r w:rsidRPr="00227C94">
              <w:rPr>
                <w:sz w:val="16"/>
              </w:rPr>
              <w:t>-</w:t>
            </w:r>
          </w:p>
        </w:tc>
        <w:tc>
          <w:tcPr>
            <w:tcW w:w="58" w:type="dxa"/>
            <w:tcBorders>
              <w:right w:val="nil"/>
            </w:tcBorders>
            <w:vAlign w:val="bottom"/>
          </w:tcPr>
          <w:p w:rsidR="00AF493A" w:rsidRPr="00227C94" w:rsidRDefault="00AF493A" w:rsidP="00AF493A">
            <w:pPr>
              <w:pStyle w:val="tblNumber01"/>
              <w:rPr>
                <w:sz w:val="16"/>
              </w:rPr>
            </w:pPr>
          </w:p>
        </w:tc>
        <w:tc>
          <w:tcPr>
            <w:tcW w:w="927" w:type="dxa"/>
            <w:tcBorders>
              <w:left w:val="nil"/>
            </w:tcBorders>
            <w:shd w:val="clear" w:color="auto" w:fill="auto"/>
            <w:vAlign w:val="bottom"/>
          </w:tcPr>
          <w:p w:rsidR="00AF493A" w:rsidRPr="00227C94" w:rsidRDefault="00AF493A" w:rsidP="00AF493A">
            <w:pPr>
              <w:pStyle w:val="tblNumberDash"/>
              <w:rPr>
                <w:sz w:val="16"/>
              </w:rPr>
            </w:pPr>
            <w:r w:rsidRPr="00227C94">
              <w:rPr>
                <w:sz w:val="16"/>
              </w:rPr>
              <w:t>-</w:t>
            </w:r>
          </w:p>
        </w:tc>
        <w:tc>
          <w:tcPr>
            <w:tcW w:w="58" w:type="dxa"/>
            <w:tcBorders>
              <w:lef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Dash"/>
              <w:rPr>
                <w:sz w:val="16"/>
              </w:rPr>
            </w:pPr>
            <w:r w:rsidRPr="00227C94">
              <w:rPr>
                <w:sz w:val="16"/>
              </w:rPr>
              <w:t>-</w:t>
            </w:r>
          </w:p>
        </w:tc>
        <w:tc>
          <w:tcPr>
            <w:tcW w:w="58" w:type="dxa"/>
            <w:tcBorders>
              <w:left w:val="nil"/>
              <w:righ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Dash"/>
              <w:rPr>
                <w:sz w:val="16"/>
              </w:rPr>
            </w:pPr>
            <w:r w:rsidRPr="00227C94">
              <w:rPr>
                <w:sz w:val="16"/>
              </w:rPr>
              <w:t>-</w:t>
            </w:r>
          </w:p>
        </w:tc>
      </w:tr>
      <w:tr w:rsidR="00AF493A" w:rsidRPr="00227C94" w:rsidTr="00A701F4">
        <w:trPr>
          <w:cantSplit/>
        </w:trPr>
        <w:tc>
          <w:tcPr>
            <w:tcW w:w="2688" w:type="dxa"/>
            <w:vAlign w:val="bottom"/>
          </w:tcPr>
          <w:p w:rsidR="00AF493A" w:rsidRPr="00227C94" w:rsidRDefault="00AF493A" w:rsidP="00AF493A">
            <w:pPr>
              <w:pStyle w:val="tblText05"/>
              <w:ind w:left="113"/>
              <w:rPr>
                <w:sz w:val="16"/>
              </w:rPr>
            </w:pPr>
            <w:r w:rsidRPr="00227C94">
              <w:rPr>
                <w:sz w:val="16"/>
              </w:rPr>
              <w:t>Unicredit Bank credit facility</w:t>
            </w:r>
          </w:p>
        </w:tc>
        <w:tc>
          <w:tcPr>
            <w:tcW w:w="395" w:type="dxa"/>
            <w:vAlign w:val="bottom"/>
          </w:tcPr>
          <w:p w:rsidR="00AF493A" w:rsidRPr="00227C94" w:rsidRDefault="00AF493A" w:rsidP="00AF493A">
            <w:pPr>
              <w:pStyle w:val="tblText00"/>
              <w:jc w:val="center"/>
              <w:rPr>
                <w:sz w:val="16"/>
              </w:rPr>
            </w:pPr>
            <w:r w:rsidRPr="00227C94">
              <w:rPr>
                <w:sz w:val="16"/>
              </w:rPr>
              <w:t>(viii)</w:t>
            </w:r>
          </w:p>
        </w:tc>
        <w:tc>
          <w:tcPr>
            <w:tcW w:w="927" w:type="dxa"/>
            <w:vAlign w:val="bottom"/>
          </w:tcPr>
          <w:p w:rsidR="00AF493A" w:rsidRPr="00227C94" w:rsidRDefault="00AF493A" w:rsidP="00AF493A">
            <w:pPr>
              <w:pStyle w:val="tblNumber01"/>
              <w:rPr>
                <w:sz w:val="16"/>
              </w:rPr>
            </w:pPr>
            <w:r w:rsidRPr="00227C94">
              <w:rPr>
                <w:sz w:val="16"/>
              </w:rPr>
              <w:t>3 months USD LIBOR+2.95%.</w:t>
            </w:r>
          </w:p>
        </w:tc>
        <w:tc>
          <w:tcPr>
            <w:tcW w:w="58" w:type="dxa"/>
            <w:vAlign w:val="bottom"/>
          </w:tcPr>
          <w:p w:rsidR="00AF493A" w:rsidRPr="00227C94" w:rsidRDefault="00AF493A" w:rsidP="00AF493A">
            <w:pPr>
              <w:pStyle w:val="tblNumber01"/>
              <w:rPr>
                <w:sz w:val="16"/>
              </w:rPr>
            </w:pPr>
          </w:p>
        </w:tc>
        <w:tc>
          <w:tcPr>
            <w:tcW w:w="927" w:type="dxa"/>
            <w:tcBorders>
              <w:bottom w:val="single" w:sz="6" w:space="0" w:color="auto"/>
            </w:tcBorders>
            <w:shd w:val="clear" w:color="auto" w:fill="auto"/>
            <w:vAlign w:val="bottom"/>
          </w:tcPr>
          <w:p w:rsidR="00AF493A" w:rsidRPr="00227C94" w:rsidRDefault="00AF493A" w:rsidP="00AF493A">
            <w:pPr>
              <w:pStyle w:val="tblNumber01"/>
              <w:rPr>
                <w:sz w:val="16"/>
              </w:rPr>
            </w:pPr>
            <w:r w:rsidRPr="00227C94">
              <w:rPr>
                <w:sz w:val="16"/>
              </w:rPr>
              <w:t>99,312</w:t>
            </w: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Dash"/>
              <w:rPr>
                <w:sz w:val="16"/>
              </w:rPr>
            </w:pPr>
            <w:r w:rsidRPr="00227C94">
              <w:rPr>
                <w:sz w:val="16"/>
              </w:rPr>
              <w:t>-</w:t>
            </w:r>
          </w:p>
        </w:tc>
        <w:tc>
          <w:tcPr>
            <w:tcW w:w="58" w:type="dxa"/>
            <w:tcBorders>
              <w:right w:val="nil"/>
            </w:tcBorders>
            <w:vAlign w:val="bottom"/>
          </w:tcPr>
          <w:p w:rsidR="00AF493A" w:rsidRPr="00227C94" w:rsidRDefault="00AF493A" w:rsidP="00AF493A">
            <w:pPr>
              <w:pStyle w:val="tblNumber01"/>
              <w:rPr>
                <w:sz w:val="16"/>
              </w:rPr>
            </w:pPr>
          </w:p>
        </w:tc>
        <w:tc>
          <w:tcPr>
            <w:tcW w:w="927" w:type="dxa"/>
            <w:tcBorders>
              <w:left w:val="nil"/>
              <w:bottom w:val="single" w:sz="6" w:space="0" w:color="auto"/>
            </w:tcBorders>
            <w:shd w:val="clear" w:color="auto" w:fill="auto"/>
            <w:vAlign w:val="bottom"/>
          </w:tcPr>
          <w:p w:rsidR="00AF493A" w:rsidRPr="00227C94" w:rsidRDefault="00AF493A" w:rsidP="00AF493A">
            <w:pPr>
              <w:pStyle w:val="tblNumberDash"/>
              <w:rPr>
                <w:sz w:val="16"/>
              </w:rPr>
            </w:pPr>
            <w:r w:rsidRPr="00227C94">
              <w:rPr>
                <w:sz w:val="16"/>
              </w:rPr>
              <w:t>-</w:t>
            </w:r>
          </w:p>
        </w:tc>
        <w:tc>
          <w:tcPr>
            <w:tcW w:w="58" w:type="dxa"/>
            <w:tcBorders>
              <w:lef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Dash"/>
              <w:rPr>
                <w:sz w:val="16"/>
              </w:rPr>
            </w:pPr>
            <w:r w:rsidRPr="00227C94">
              <w:rPr>
                <w:sz w:val="16"/>
              </w:rPr>
              <w:t>-</w:t>
            </w:r>
          </w:p>
        </w:tc>
        <w:tc>
          <w:tcPr>
            <w:tcW w:w="58" w:type="dxa"/>
            <w:tcBorders>
              <w:left w:val="nil"/>
              <w:right w:val="nil"/>
            </w:tcBorders>
            <w:vAlign w:val="bottom"/>
          </w:tcPr>
          <w:p w:rsidR="00AF493A" w:rsidRPr="00227C94" w:rsidRDefault="00AF493A" w:rsidP="00AF493A">
            <w:pPr>
              <w:pStyle w:val="tblNumber01"/>
              <w:rPr>
                <w:sz w:val="16"/>
              </w:rPr>
            </w:pPr>
          </w:p>
        </w:tc>
        <w:tc>
          <w:tcPr>
            <w:tcW w:w="927" w:type="dxa"/>
            <w:tcBorders>
              <w:left w:val="nil"/>
              <w:bottom w:val="single" w:sz="6" w:space="0" w:color="auto"/>
            </w:tcBorders>
            <w:shd w:val="clear" w:color="auto" w:fill="auto"/>
            <w:vAlign w:val="bottom"/>
          </w:tcPr>
          <w:p w:rsidR="00AF493A" w:rsidRPr="00227C94" w:rsidRDefault="00AF493A" w:rsidP="00AF493A">
            <w:pPr>
              <w:pStyle w:val="tblNumberDash"/>
              <w:rPr>
                <w:sz w:val="16"/>
              </w:rPr>
            </w:pPr>
            <w:r w:rsidRPr="00227C94">
              <w:rPr>
                <w:sz w:val="16"/>
              </w:rPr>
              <w:t>-</w:t>
            </w:r>
          </w:p>
        </w:tc>
      </w:tr>
      <w:tr w:rsidR="00AF493A" w:rsidRPr="00227C94" w:rsidTr="00AF493A">
        <w:trPr>
          <w:cantSplit/>
        </w:trPr>
        <w:tc>
          <w:tcPr>
            <w:tcW w:w="2688" w:type="dxa"/>
            <w:vAlign w:val="bottom"/>
          </w:tcPr>
          <w:p w:rsidR="00AF493A" w:rsidRPr="00227C94" w:rsidRDefault="00AF493A" w:rsidP="00AF493A">
            <w:pPr>
              <w:pStyle w:val="tblText02"/>
              <w:rPr>
                <w:sz w:val="16"/>
              </w:rPr>
            </w:pPr>
          </w:p>
        </w:tc>
        <w:tc>
          <w:tcPr>
            <w:tcW w:w="395"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01"/>
              <w:rPr>
                <w:sz w:val="16"/>
              </w:rPr>
            </w:pPr>
          </w:p>
        </w:tc>
        <w:tc>
          <w:tcPr>
            <w:tcW w:w="58" w:type="dxa"/>
            <w:vAlign w:val="bottom"/>
          </w:tcPr>
          <w:p w:rsidR="00AF493A" w:rsidRPr="00227C94" w:rsidRDefault="00AF493A" w:rsidP="00AF493A">
            <w:pPr>
              <w:pStyle w:val="tblNumber01"/>
              <w:rPr>
                <w:sz w:val="16"/>
              </w:rPr>
            </w:pPr>
          </w:p>
        </w:tc>
        <w:tc>
          <w:tcPr>
            <w:tcW w:w="927" w:type="dxa"/>
            <w:tcBorders>
              <w:top w:val="single" w:sz="6" w:space="0" w:color="auto"/>
            </w:tcBorders>
            <w:shd w:val="clear" w:color="auto" w:fill="auto"/>
            <w:vAlign w:val="bottom"/>
          </w:tcPr>
          <w:p w:rsidR="00AF493A" w:rsidRPr="00227C94" w:rsidRDefault="00AF493A" w:rsidP="00AF493A">
            <w:pPr>
              <w:pStyle w:val="tblNumber01"/>
              <w:rPr>
                <w:sz w:val="16"/>
              </w:rPr>
            </w:pP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01"/>
              <w:rPr>
                <w:sz w:val="16"/>
              </w:rPr>
            </w:pPr>
          </w:p>
        </w:tc>
        <w:tc>
          <w:tcPr>
            <w:tcW w:w="58" w:type="dxa"/>
            <w:tcBorders>
              <w:right w:val="nil"/>
            </w:tcBorders>
            <w:vAlign w:val="bottom"/>
          </w:tcPr>
          <w:p w:rsidR="00AF493A" w:rsidRPr="00227C94" w:rsidRDefault="00AF493A" w:rsidP="00AF493A">
            <w:pPr>
              <w:pStyle w:val="tblNumber01"/>
              <w:rPr>
                <w:sz w:val="16"/>
              </w:rPr>
            </w:pPr>
          </w:p>
        </w:tc>
        <w:tc>
          <w:tcPr>
            <w:tcW w:w="927" w:type="dxa"/>
            <w:tcBorders>
              <w:top w:val="single" w:sz="6" w:space="0" w:color="auto"/>
              <w:left w:val="nil"/>
            </w:tcBorders>
            <w:shd w:val="clear" w:color="auto" w:fill="auto"/>
            <w:vAlign w:val="bottom"/>
          </w:tcPr>
          <w:p w:rsidR="00AF493A" w:rsidRPr="00227C94" w:rsidRDefault="00AF493A" w:rsidP="00AF493A">
            <w:pPr>
              <w:pStyle w:val="tblNumber01"/>
              <w:rPr>
                <w:sz w:val="16"/>
              </w:rPr>
            </w:pPr>
          </w:p>
        </w:tc>
        <w:tc>
          <w:tcPr>
            <w:tcW w:w="58" w:type="dxa"/>
            <w:tcBorders>
              <w:lef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p>
        </w:tc>
        <w:tc>
          <w:tcPr>
            <w:tcW w:w="58" w:type="dxa"/>
            <w:tcBorders>
              <w:left w:val="nil"/>
              <w:right w:val="nil"/>
            </w:tcBorders>
            <w:vAlign w:val="bottom"/>
          </w:tcPr>
          <w:p w:rsidR="00AF493A" w:rsidRPr="00227C94" w:rsidRDefault="00AF493A" w:rsidP="00AF493A">
            <w:pPr>
              <w:pStyle w:val="tblNumber01"/>
              <w:rPr>
                <w:sz w:val="16"/>
              </w:rPr>
            </w:pPr>
          </w:p>
        </w:tc>
        <w:tc>
          <w:tcPr>
            <w:tcW w:w="927" w:type="dxa"/>
            <w:tcBorders>
              <w:top w:val="single" w:sz="6" w:space="0" w:color="auto"/>
              <w:left w:val="nil"/>
            </w:tcBorders>
            <w:shd w:val="clear" w:color="auto" w:fill="auto"/>
            <w:vAlign w:val="bottom"/>
          </w:tcPr>
          <w:p w:rsidR="00AF493A" w:rsidRPr="00227C94" w:rsidRDefault="00AF493A" w:rsidP="00AF493A">
            <w:pPr>
              <w:pStyle w:val="tblNumber01"/>
              <w:rPr>
                <w:sz w:val="16"/>
              </w:rPr>
            </w:pPr>
          </w:p>
        </w:tc>
      </w:tr>
      <w:tr w:rsidR="00AF493A" w:rsidRPr="00227C94" w:rsidTr="00AF493A">
        <w:trPr>
          <w:cantSplit/>
        </w:trPr>
        <w:tc>
          <w:tcPr>
            <w:tcW w:w="2688" w:type="dxa"/>
            <w:vAlign w:val="bottom"/>
          </w:tcPr>
          <w:p w:rsidR="00AF493A" w:rsidRPr="00227C94" w:rsidRDefault="00AF493A" w:rsidP="00AF493A">
            <w:pPr>
              <w:pStyle w:val="tblText05"/>
              <w:ind w:left="113"/>
              <w:rPr>
                <w:b/>
                <w:sz w:val="16"/>
              </w:rPr>
            </w:pPr>
            <w:r w:rsidRPr="00227C94">
              <w:rPr>
                <w:b/>
                <w:sz w:val="16"/>
              </w:rPr>
              <w:t>Total</w:t>
            </w:r>
          </w:p>
        </w:tc>
        <w:tc>
          <w:tcPr>
            <w:tcW w:w="395"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01"/>
              <w:rPr>
                <w:sz w:val="16"/>
              </w:rPr>
            </w:pPr>
          </w:p>
        </w:tc>
        <w:tc>
          <w:tcPr>
            <w:tcW w:w="58" w:type="dxa"/>
            <w:vAlign w:val="bottom"/>
          </w:tcPr>
          <w:p w:rsidR="00AF493A" w:rsidRPr="00227C94" w:rsidRDefault="00AF493A" w:rsidP="00AF493A">
            <w:pPr>
              <w:pStyle w:val="tblNumber01"/>
              <w:rPr>
                <w:sz w:val="16"/>
              </w:rPr>
            </w:pPr>
          </w:p>
        </w:tc>
        <w:tc>
          <w:tcPr>
            <w:tcW w:w="927" w:type="dxa"/>
            <w:shd w:val="clear" w:color="auto" w:fill="auto"/>
            <w:vAlign w:val="bottom"/>
          </w:tcPr>
          <w:p w:rsidR="00AF493A" w:rsidRPr="00227C94" w:rsidRDefault="00AF493A" w:rsidP="00AF493A">
            <w:pPr>
              <w:pStyle w:val="tblNumber01"/>
              <w:rPr>
                <w:b/>
                <w:bCs/>
                <w:sz w:val="16"/>
              </w:rPr>
            </w:pPr>
            <w:r w:rsidRPr="00227C94">
              <w:rPr>
                <w:b/>
                <w:sz w:val="16"/>
              </w:rPr>
              <w:t>335,509</w:t>
            </w: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01"/>
              <w:rPr>
                <w:sz w:val="16"/>
              </w:rPr>
            </w:pPr>
          </w:p>
        </w:tc>
        <w:tc>
          <w:tcPr>
            <w:tcW w:w="58" w:type="dxa"/>
            <w:tcBorders>
              <w:right w:val="nil"/>
            </w:tcBorders>
            <w:vAlign w:val="bottom"/>
          </w:tcPr>
          <w:p w:rsidR="00AF493A" w:rsidRPr="00227C94" w:rsidRDefault="00AF493A" w:rsidP="00AF493A">
            <w:pPr>
              <w:pStyle w:val="tblNumber01"/>
              <w:rPr>
                <w:sz w:val="16"/>
              </w:rPr>
            </w:pPr>
          </w:p>
        </w:tc>
        <w:tc>
          <w:tcPr>
            <w:tcW w:w="927" w:type="dxa"/>
            <w:tcBorders>
              <w:left w:val="nil"/>
            </w:tcBorders>
            <w:shd w:val="clear" w:color="auto" w:fill="auto"/>
            <w:vAlign w:val="bottom"/>
          </w:tcPr>
          <w:p w:rsidR="00AF493A" w:rsidRPr="00227C94" w:rsidRDefault="00AF493A" w:rsidP="00AF493A">
            <w:pPr>
              <w:pStyle w:val="tblNumber01"/>
              <w:rPr>
                <w:b/>
                <w:sz w:val="16"/>
              </w:rPr>
            </w:pPr>
            <w:r w:rsidRPr="00227C94">
              <w:rPr>
                <w:b/>
                <w:sz w:val="16"/>
              </w:rPr>
              <w:t>209,969</w:t>
            </w:r>
          </w:p>
        </w:tc>
        <w:tc>
          <w:tcPr>
            <w:tcW w:w="58" w:type="dxa"/>
            <w:tcBorders>
              <w:lef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p>
        </w:tc>
        <w:tc>
          <w:tcPr>
            <w:tcW w:w="58" w:type="dxa"/>
            <w:tcBorders>
              <w:left w:val="nil"/>
              <w:righ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b/>
                <w:bCs/>
                <w:sz w:val="16"/>
              </w:rPr>
            </w:pPr>
            <w:r w:rsidRPr="00227C94">
              <w:rPr>
                <w:b/>
                <w:sz w:val="16"/>
              </w:rPr>
              <w:t>798,680</w:t>
            </w:r>
          </w:p>
        </w:tc>
      </w:tr>
      <w:tr w:rsidR="00AF493A" w:rsidRPr="00227C94" w:rsidTr="00A701F4">
        <w:trPr>
          <w:cantSplit/>
        </w:trPr>
        <w:tc>
          <w:tcPr>
            <w:tcW w:w="2688" w:type="dxa"/>
            <w:vAlign w:val="bottom"/>
          </w:tcPr>
          <w:p w:rsidR="00AF493A" w:rsidRPr="00227C94" w:rsidRDefault="00AF493A" w:rsidP="00AF493A">
            <w:pPr>
              <w:pStyle w:val="tblText02"/>
              <w:rPr>
                <w:sz w:val="16"/>
              </w:rPr>
            </w:pPr>
          </w:p>
        </w:tc>
        <w:tc>
          <w:tcPr>
            <w:tcW w:w="395"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01"/>
              <w:rPr>
                <w:sz w:val="16"/>
              </w:rPr>
            </w:pP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01"/>
              <w:rPr>
                <w:sz w:val="16"/>
              </w:rPr>
            </w:pP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01"/>
              <w:rPr>
                <w:sz w:val="16"/>
              </w:rPr>
            </w:pPr>
          </w:p>
        </w:tc>
        <w:tc>
          <w:tcPr>
            <w:tcW w:w="58" w:type="dxa"/>
            <w:tcBorders>
              <w:righ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p>
        </w:tc>
        <w:tc>
          <w:tcPr>
            <w:tcW w:w="58" w:type="dxa"/>
            <w:tcBorders>
              <w:lef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p>
        </w:tc>
        <w:tc>
          <w:tcPr>
            <w:tcW w:w="58" w:type="dxa"/>
            <w:tcBorders>
              <w:left w:val="nil"/>
              <w:righ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p>
        </w:tc>
      </w:tr>
      <w:tr w:rsidR="00AF493A" w:rsidRPr="00227C94" w:rsidTr="00A701F4">
        <w:trPr>
          <w:cantSplit/>
        </w:trPr>
        <w:tc>
          <w:tcPr>
            <w:tcW w:w="2688" w:type="dxa"/>
            <w:vAlign w:val="bottom"/>
          </w:tcPr>
          <w:p w:rsidR="00AF493A" w:rsidRPr="00227C94" w:rsidRDefault="00AF493A" w:rsidP="00AF493A">
            <w:pPr>
              <w:pStyle w:val="tblText05"/>
              <w:ind w:left="113"/>
              <w:rPr>
                <w:sz w:val="16"/>
                <w:lang w:val="en-US"/>
              </w:rPr>
            </w:pPr>
            <w:r w:rsidRPr="00227C94">
              <w:rPr>
                <w:sz w:val="16"/>
                <w:lang w:val="en-US"/>
              </w:rPr>
              <w:t>Less: current portion due within twelve months</w:t>
            </w:r>
          </w:p>
        </w:tc>
        <w:tc>
          <w:tcPr>
            <w:tcW w:w="395" w:type="dxa"/>
            <w:vAlign w:val="bottom"/>
          </w:tcPr>
          <w:p w:rsidR="00AF493A" w:rsidRPr="00227C94" w:rsidRDefault="00AF493A" w:rsidP="00AF493A">
            <w:pPr>
              <w:pStyle w:val="tblNumber01"/>
              <w:rPr>
                <w:sz w:val="16"/>
                <w:lang w:val="en-US"/>
              </w:rPr>
            </w:pPr>
          </w:p>
        </w:tc>
        <w:tc>
          <w:tcPr>
            <w:tcW w:w="927" w:type="dxa"/>
            <w:vAlign w:val="bottom"/>
          </w:tcPr>
          <w:p w:rsidR="00AF493A" w:rsidRPr="00227C94" w:rsidRDefault="00AF493A" w:rsidP="00AF493A">
            <w:pPr>
              <w:pStyle w:val="tblNumber01"/>
              <w:rPr>
                <w:sz w:val="16"/>
                <w:lang w:val="en-US"/>
              </w:rPr>
            </w:pPr>
          </w:p>
        </w:tc>
        <w:tc>
          <w:tcPr>
            <w:tcW w:w="58" w:type="dxa"/>
            <w:vAlign w:val="bottom"/>
          </w:tcPr>
          <w:p w:rsidR="00AF493A" w:rsidRPr="00227C94" w:rsidRDefault="00AF493A" w:rsidP="00AF493A">
            <w:pPr>
              <w:pStyle w:val="tblNumber01"/>
              <w:rPr>
                <w:sz w:val="16"/>
                <w:lang w:val="en-US"/>
              </w:rPr>
            </w:pPr>
          </w:p>
        </w:tc>
        <w:tc>
          <w:tcPr>
            <w:tcW w:w="927" w:type="dxa"/>
            <w:tcBorders>
              <w:bottom w:val="single" w:sz="6" w:space="0" w:color="auto"/>
            </w:tcBorders>
            <w:shd w:val="clear" w:color="auto" w:fill="auto"/>
            <w:vAlign w:val="bottom"/>
          </w:tcPr>
          <w:p w:rsidR="00AF493A" w:rsidRPr="00227C94" w:rsidRDefault="00AF493A" w:rsidP="00AF493A">
            <w:pPr>
              <w:pStyle w:val="tblNumber01"/>
              <w:rPr>
                <w:sz w:val="16"/>
              </w:rPr>
            </w:pPr>
            <w:r w:rsidRPr="00227C94">
              <w:rPr>
                <w:sz w:val="16"/>
              </w:rPr>
              <w:t>33,333</w:t>
            </w: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01"/>
              <w:rPr>
                <w:sz w:val="16"/>
              </w:rPr>
            </w:pPr>
          </w:p>
        </w:tc>
        <w:tc>
          <w:tcPr>
            <w:tcW w:w="58" w:type="dxa"/>
            <w:tcBorders>
              <w:right w:val="nil"/>
            </w:tcBorders>
            <w:vAlign w:val="bottom"/>
          </w:tcPr>
          <w:p w:rsidR="00AF493A" w:rsidRPr="00227C94" w:rsidRDefault="00AF493A" w:rsidP="00AF493A">
            <w:pPr>
              <w:pStyle w:val="tblNumber01"/>
              <w:rPr>
                <w:sz w:val="16"/>
              </w:rPr>
            </w:pPr>
          </w:p>
        </w:tc>
        <w:tc>
          <w:tcPr>
            <w:tcW w:w="927" w:type="dxa"/>
            <w:tcBorders>
              <w:left w:val="nil"/>
              <w:bottom w:val="single" w:sz="6" w:space="0" w:color="auto"/>
            </w:tcBorders>
            <w:shd w:val="clear" w:color="auto" w:fill="auto"/>
            <w:vAlign w:val="bottom"/>
          </w:tcPr>
          <w:p w:rsidR="00AF493A" w:rsidRPr="00227C94" w:rsidRDefault="00AF493A" w:rsidP="00AF493A">
            <w:pPr>
              <w:pStyle w:val="tblNumberDash"/>
              <w:rPr>
                <w:sz w:val="16"/>
              </w:rPr>
            </w:pPr>
            <w:r w:rsidRPr="00227C94">
              <w:rPr>
                <w:sz w:val="16"/>
              </w:rPr>
              <w:t>-</w:t>
            </w:r>
          </w:p>
        </w:tc>
        <w:tc>
          <w:tcPr>
            <w:tcW w:w="58" w:type="dxa"/>
            <w:tcBorders>
              <w:lef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p>
        </w:tc>
        <w:tc>
          <w:tcPr>
            <w:tcW w:w="58" w:type="dxa"/>
            <w:tcBorders>
              <w:left w:val="nil"/>
              <w:right w:val="nil"/>
            </w:tcBorders>
            <w:vAlign w:val="bottom"/>
          </w:tcPr>
          <w:p w:rsidR="00AF493A" w:rsidRPr="00227C94" w:rsidRDefault="00AF493A" w:rsidP="00AF493A">
            <w:pPr>
              <w:pStyle w:val="tblNumber01"/>
              <w:rPr>
                <w:sz w:val="16"/>
              </w:rPr>
            </w:pPr>
          </w:p>
        </w:tc>
        <w:tc>
          <w:tcPr>
            <w:tcW w:w="927" w:type="dxa"/>
            <w:tcBorders>
              <w:left w:val="nil"/>
              <w:bottom w:val="single" w:sz="6" w:space="0" w:color="auto"/>
            </w:tcBorders>
            <w:shd w:val="clear" w:color="auto" w:fill="auto"/>
            <w:vAlign w:val="bottom"/>
          </w:tcPr>
          <w:p w:rsidR="00AF493A" w:rsidRPr="00227C94" w:rsidRDefault="00AF493A" w:rsidP="00AF493A">
            <w:pPr>
              <w:pStyle w:val="tblNumber01"/>
              <w:rPr>
                <w:sz w:val="16"/>
              </w:rPr>
            </w:pPr>
            <w:r w:rsidRPr="00227C94">
              <w:rPr>
                <w:sz w:val="16"/>
              </w:rPr>
              <w:t>675,632</w:t>
            </w:r>
          </w:p>
        </w:tc>
      </w:tr>
      <w:tr w:rsidR="00AF493A" w:rsidRPr="00227C94" w:rsidTr="00A701F4">
        <w:trPr>
          <w:cantSplit/>
        </w:trPr>
        <w:tc>
          <w:tcPr>
            <w:tcW w:w="2688" w:type="dxa"/>
            <w:vAlign w:val="bottom"/>
          </w:tcPr>
          <w:p w:rsidR="00AF493A" w:rsidRPr="00227C94" w:rsidRDefault="00AF493A" w:rsidP="00AF493A">
            <w:pPr>
              <w:pStyle w:val="tblText02"/>
              <w:rPr>
                <w:sz w:val="16"/>
              </w:rPr>
            </w:pPr>
          </w:p>
        </w:tc>
        <w:tc>
          <w:tcPr>
            <w:tcW w:w="395"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01"/>
              <w:rPr>
                <w:sz w:val="16"/>
              </w:rPr>
            </w:pPr>
          </w:p>
        </w:tc>
        <w:tc>
          <w:tcPr>
            <w:tcW w:w="58" w:type="dxa"/>
            <w:vAlign w:val="bottom"/>
          </w:tcPr>
          <w:p w:rsidR="00AF493A" w:rsidRPr="00227C94" w:rsidRDefault="00AF493A" w:rsidP="00AF493A">
            <w:pPr>
              <w:pStyle w:val="tblNumber01"/>
              <w:rPr>
                <w:sz w:val="16"/>
              </w:rPr>
            </w:pPr>
          </w:p>
        </w:tc>
        <w:tc>
          <w:tcPr>
            <w:tcW w:w="927" w:type="dxa"/>
            <w:tcBorders>
              <w:top w:val="single" w:sz="6" w:space="0" w:color="auto"/>
            </w:tcBorders>
            <w:shd w:val="clear" w:color="auto" w:fill="auto"/>
            <w:vAlign w:val="bottom"/>
          </w:tcPr>
          <w:p w:rsidR="00AF493A" w:rsidRPr="00227C94" w:rsidRDefault="00AF493A" w:rsidP="00AF493A">
            <w:pPr>
              <w:pStyle w:val="tblNumber01"/>
              <w:rPr>
                <w:sz w:val="16"/>
              </w:rPr>
            </w:pP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01"/>
              <w:rPr>
                <w:sz w:val="16"/>
              </w:rPr>
            </w:pPr>
          </w:p>
        </w:tc>
        <w:tc>
          <w:tcPr>
            <w:tcW w:w="58" w:type="dxa"/>
            <w:tcBorders>
              <w:right w:val="nil"/>
            </w:tcBorders>
            <w:vAlign w:val="bottom"/>
          </w:tcPr>
          <w:p w:rsidR="00AF493A" w:rsidRPr="00227C94" w:rsidRDefault="00AF493A" w:rsidP="00AF493A">
            <w:pPr>
              <w:pStyle w:val="tblNumber01"/>
              <w:rPr>
                <w:sz w:val="16"/>
              </w:rPr>
            </w:pPr>
          </w:p>
        </w:tc>
        <w:tc>
          <w:tcPr>
            <w:tcW w:w="927" w:type="dxa"/>
            <w:tcBorders>
              <w:top w:val="single" w:sz="6" w:space="0" w:color="auto"/>
              <w:left w:val="nil"/>
            </w:tcBorders>
            <w:shd w:val="clear" w:color="auto" w:fill="auto"/>
            <w:vAlign w:val="bottom"/>
          </w:tcPr>
          <w:p w:rsidR="00AF493A" w:rsidRPr="00227C94" w:rsidRDefault="00AF493A" w:rsidP="00AF493A">
            <w:pPr>
              <w:pStyle w:val="tblNumber01"/>
              <w:rPr>
                <w:sz w:val="16"/>
              </w:rPr>
            </w:pPr>
          </w:p>
        </w:tc>
        <w:tc>
          <w:tcPr>
            <w:tcW w:w="58" w:type="dxa"/>
            <w:tcBorders>
              <w:lef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p>
        </w:tc>
        <w:tc>
          <w:tcPr>
            <w:tcW w:w="58" w:type="dxa"/>
            <w:tcBorders>
              <w:left w:val="nil"/>
              <w:right w:val="nil"/>
            </w:tcBorders>
            <w:vAlign w:val="bottom"/>
          </w:tcPr>
          <w:p w:rsidR="00AF493A" w:rsidRPr="00227C94" w:rsidRDefault="00AF493A" w:rsidP="00AF493A">
            <w:pPr>
              <w:pStyle w:val="tblNumber01"/>
              <w:rPr>
                <w:sz w:val="16"/>
              </w:rPr>
            </w:pPr>
          </w:p>
        </w:tc>
        <w:tc>
          <w:tcPr>
            <w:tcW w:w="927" w:type="dxa"/>
            <w:tcBorders>
              <w:top w:val="single" w:sz="6" w:space="0" w:color="auto"/>
              <w:left w:val="nil"/>
            </w:tcBorders>
            <w:shd w:val="clear" w:color="auto" w:fill="auto"/>
            <w:vAlign w:val="bottom"/>
          </w:tcPr>
          <w:p w:rsidR="00AF493A" w:rsidRPr="00227C94" w:rsidRDefault="00AF493A" w:rsidP="00AF493A">
            <w:pPr>
              <w:pStyle w:val="tblNumber01"/>
              <w:rPr>
                <w:sz w:val="16"/>
              </w:rPr>
            </w:pPr>
          </w:p>
        </w:tc>
      </w:tr>
      <w:tr w:rsidR="00AF493A" w:rsidRPr="00227C94" w:rsidTr="00AF493A">
        <w:trPr>
          <w:cantSplit/>
        </w:trPr>
        <w:tc>
          <w:tcPr>
            <w:tcW w:w="2688" w:type="dxa"/>
            <w:vAlign w:val="bottom"/>
          </w:tcPr>
          <w:p w:rsidR="00AF493A" w:rsidRPr="00227C94" w:rsidRDefault="00AF493A" w:rsidP="00AF493A">
            <w:pPr>
              <w:pStyle w:val="tblText05"/>
              <w:ind w:left="113"/>
              <w:rPr>
                <w:b/>
                <w:sz w:val="16"/>
              </w:rPr>
            </w:pPr>
            <w:r w:rsidRPr="00227C94">
              <w:rPr>
                <w:b/>
                <w:sz w:val="16"/>
              </w:rPr>
              <w:t>Long-term borrowings</w:t>
            </w:r>
          </w:p>
        </w:tc>
        <w:tc>
          <w:tcPr>
            <w:tcW w:w="395"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01"/>
              <w:rPr>
                <w:sz w:val="16"/>
              </w:rPr>
            </w:pPr>
          </w:p>
        </w:tc>
        <w:tc>
          <w:tcPr>
            <w:tcW w:w="58" w:type="dxa"/>
            <w:vAlign w:val="bottom"/>
          </w:tcPr>
          <w:p w:rsidR="00AF493A" w:rsidRPr="00227C94" w:rsidRDefault="00AF493A" w:rsidP="00AF493A">
            <w:pPr>
              <w:pStyle w:val="tblNumber01"/>
              <w:rPr>
                <w:sz w:val="16"/>
              </w:rPr>
            </w:pPr>
          </w:p>
        </w:tc>
        <w:tc>
          <w:tcPr>
            <w:tcW w:w="927" w:type="dxa"/>
            <w:tcBorders>
              <w:bottom w:val="double" w:sz="6" w:space="0" w:color="auto"/>
            </w:tcBorders>
            <w:shd w:val="clear" w:color="auto" w:fill="auto"/>
            <w:vAlign w:val="bottom"/>
          </w:tcPr>
          <w:p w:rsidR="00AF493A" w:rsidRPr="00227C94" w:rsidRDefault="00AF493A" w:rsidP="00AF493A">
            <w:pPr>
              <w:pStyle w:val="tblNumber01"/>
              <w:rPr>
                <w:b/>
                <w:sz w:val="16"/>
              </w:rPr>
            </w:pPr>
            <w:r w:rsidRPr="00227C94">
              <w:rPr>
                <w:b/>
                <w:sz w:val="16"/>
              </w:rPr>
              <w:t>302,176</w:t>
            </w:r>
          </w:p>
        </w:tc>
        <w:tc>
          <w:tcPr>
            <w:tcW w:w="58" w:type="dxa"/>
            <w:vAlign w:val="bottom"/>
          </w:tcPr>
          <w:p w:rsidR="00AF493A" w:rsidRPr="00227C94" w:rsidRDefault="00AF493A" w:rsidP="00AF493A">
            <w:pPr>
              <w:pStyle w:val="tblNumber01"/>
              <w:rPr>
                <w:sz w:val="16"/>
              </w:rPr>
            </w:pPr>
          </w:p>
        </w:tc>
        <w:tc>
          <w:tcPr>
            <w:tcW w:w="927" w:type="dxa"/>
            <w:vAlign w:val="bottom"/>
          </w:tcPr>
          <w:p w:rsidR="00AF493A" w:rsidRPr="00227C94" w:rsidRDefault="00AF493A" w:rsidP="00AF493A">
            <w:pPr>
              <w:pStyle w:val="tblNumber01"/>
              <w:rPr>
                <w:sz w:val="16"/>
              </w:rPr>
            </w:pPr>
          </w:p>
        </w:tc>
        <w:tc>
          <w:tcPr>
            <w:tcW w:w="58" w:type="dxa"/>
            <w:tcBorders>
              <w:right w:val="nil"/>
            </w:tcBorders>
            <w:vAlign w:val="bottom"/>
          </w:tcPr>
          <w:p w:rsidR="00AF493A" w:rsidRPr="00227C94" w:rsidRDefault="00AF493A" w:rsidP="00AF493A">
            <w:pPr>
              <w:pStyle w:val="tblNumber01"/>
              <w:rPr>
                <w:sz w:val="16"/>
              </w:rPr>
            </w:pPr>
          </w:p>
        </w:tc>
        <w:tc>
          <w:tcPr>
            <w:tcW w:w="927" w:type="dxa"/>
            <w:tcBorders>
              <w:left w:val="nil"/>
              <w:bottom w:val="double" w:sz="6" w:space="0" w:color="auto"/>
            </w:tcBorders>
            <w:shd w:val="clear" w:color="auto" w:fill="auto"/>
            <w:vAlign w:val="bottom"/>
          </w:tcPr>
          <w:p w:rsidR="00AF493A" w:rsidRPr="00227C94" w:rsidRDefault="00AF493A" w:rsidP="00AF493A">
            <w:pPr>
              <w:pStyle w:val="tblNumber01"/>
              <w:rPr>
                <w:b/>
                <w:sz w:val="16"/>
              </w:rPr>
            </w:pPr>
            <w:r w:rsidRPr="00227C94">
              <w:rPr>
                <w:b/>
                <w:sz w:val="16"/>
              </w:rPr>
              <w:t>209,969</w:t>
            </w:r>
          </w:p>
        </w:tc>
        <w:tc>
          <w:tcPr>
            <w:tcW w:w="58" w:type="dxa"/>
            <w:tcBorders>
              <w:left w:val="nil"/>
            </w:tcBorders>
            <w:vAlign w:val="bottom"/>
          </w:tcPr>
          <w:p w:rsidR="00AF493A" w:rsidRPr="00227C94" w:rsidRDefault="00AF493A" w:rsidP="00AF493A">
            <w:pPr>
              <w:pStyle w:val="tblNumber01"/>
              <w:rPr>
                <w:sz w:val="16"/>
              </w:rPr>
            </w:pPr>
          </w:p>
        </w:tc>
        <w:tc>
          <w:tcPr>
            <w:tcW w:w="927" w:type="dxa"/>
            <w:tcBorders>
              <w:left w:val="nil"/>
            </w:tcBorders>
            <w:vAlign w:val="bottom"/>
          </w:tcPr>
          <w:p w:rsidR="00AF493A" w:rsidRPr="00227C94" w:rsidRDefault="00AF493A" w:rsidP="00AF493A">
            <w:pPr>
              <w:pStyle w:val="tblNumber01"/>
              <w:rPr>
                <w:sz w:val="16"/>
              </w:rPr>
            </w:pPr>
          </w:p>
        </w:tc>
        <w:tc>
          <w:tcPr>
            <w:tcW w:w="58" w:type="dxa"/>
            <w:tcBorders>
              <w:left w:val="nil"/>
              <w:right w:val="nil"/>
            </w:tcBorders>
            <w:vAlign w:val="bottom"/>
          </w:tcPr>
          <w:p w:rsidR="00AF493A" w:rsidRPr="00227C94" w:rsidRDefault="00AF493A" w:rsidP="00AF493A">
            <w:pPr>
              <w:pStyle w:val="tblNumber01"/>
              <w:rPr>
                <w:sz w:val="16"/>
              </w:rPr>
            </w:pPr>
          </w:p>
        </w:tc>
        <w:tc>
          <w:tcPr>
            <w:tcW w:w="927" w:type="dxa"/>
            <w:tcBorders>
              <w:left w:val="nil"/>
              <w:bottom w:val="double" w:sz="6" w:space="0" w:color="auto"/>
            </w:tcBorders>
            <w:shd w:val="clear" w:color="auto" w:fill="auto"/>
            <w:vAlign w:val="bottom"/>
          </w:tcPr>
          <w:p w:rsidR="00AF493A" w:rsidRPr="00227C94" w:rsidRDefault="00AF493A" w:rsidP="00AF493A">
            <w:pPr>
              <w:pStyle w:val="tblNumber01"/>
              <w:rPr>
                <w:b/>
                <w:sz w:val="16"/>
              </w:rPr>
            </w:pPr>
            <w:r w:rsidRPr="00227C94">
              <w:rPr>
                <w:b/>
                <w:sz w:val="16"/>
              </w:rPr>
              <w:t>123,048</w:t>
            </w:r>
          </w:p>
        </w:tc>
      </w:tr>
    </w:tbl>
    <w:p w:rsidR="00916675" w:rsidRPr="00227C94" w:rsidRDefault="00916675" w:rsidP="00AF493A">
      <w:pPr>
        <w:pStyle w:val="23"/>
        <w:rPr>
          <w:color w:val="auto"/>
          <w:lang w:val="en-US"/>
        </w:rPr>
      </w:pPr>
    </w:p>
    <w:p w:rsidR="00AF493A" w:rsidRPr="00227C94" w:rsidRDefault="00AF493A" w:rsidP="00AF493A">
      <w:pPr>
        <w:pStyle w:val="23"/>
        <w:rPr>
          <w:color w:val="auto"/>
          <w:lang w:val="en-US"/>
        </w:rPr>
      </w:pPr>
    </w:p>
    <w:p w:rsidR="00916675" w:rsidRPr="00227C94" w:rsidRDefault="00916675" w:rsidP="00AF493A">
      <w:pPr>
        <w:pStyle w:val="31"/>
      </w:pPr>
      <w:r w:rsidRPr="00227C94">
        <w:t>Summary of borrowing agreements</w:t>
      </w:r>
    </w:p>
    <w:p w:rsidR="00916675" w:rsidRPr="00227C94" w:rsidRDefault="00916675" w:rsidP="00AF493A">
      <w:pPr>
        <w:pStyle w:val="23"/>
        <w:rPr>
          <w:color w:val="auto"/>
        </w:rPr>
      </w:pPr>
    </w:p>
    <w:p w:rsidR="00916675" w:rsidRPr="00227C94" w:rsidRDefault="00916675" w:rsidP="00AF493A">
      <w:pPr>
        <w:pStyle w:val="3"/>
        <w:rPr>
          <w:b/>
        </w:rPr>
      </w:pPr>
      <w:r w:rsidRPr="00227C94">
        <w:rPr>
          <w:b/>
        </w:rPr>
        <w:t>Guaranteed senior notes</w:t>
      </w:r>
    </w:p>
    <w:p w:rsidR="00916675" w:rsidRPr="00227C94" w:rsidRDefault="00916675" w:rsidP="00AF493A">
      <w:pPr>
        <w:pStyle w:val="23"/>
        <w:rPr>
          <w:color w:val="auto"/>
        </w:rPr>
      </w:pPr>
    </w:p>
    <w:p w:rsidR="00916675" w:rsidRPr="00227C94" w:rsidRDefault="00916675" w:rsidP="00AF493A">
      <w:pPr>
        <w:pStyle w:val="23"/>
        <w:rPr>
          <w:color w:val="auto"/>
          <w:spacing w:val="-4"/>
          <w:lang w:val="en-US"/>
        </w:rPr>
      </w:pPr>
      <w:r w:rsidRPr="00227C94">
        <w:rPr>
          <w:color w:val="auto"/>
          <w:spacing w:val="-2"/>
          <w:lang w:val="en-US"/>
        </w:rPr>
        <w:t xml:space="preserve">On 15 March 2012, </w:t>
      </w:r>
      <w:r w:rsidR="00C21088" w:rsidRPr="00227C94">
        <w:rPr>
          <w:color w:val="auto"/>
          <w:spacing w:val="-2"/>
          <w:lang w:val="en-US"/>
        </w:rPr>
        <w:t>USD</w:t>
      </w:r>
      <w:r w:rsidRPr="00227C94">
        <w:rPr>
          <w:color w:val="auto"/>
          <w:spacing w:val="-2"/>
          <w:lang w:val="en-US"/>
        </w:rPr>
        <w:t xml:space="preserve">200 million guaranteed senior notes were redeemed at 102.344% of nominal </w:t>
      </w:r>
      <w:r w:rsidRPr="00227C94">
        <w:rPr>
          <w:color w:val="auto"/>
          <w:spacing w:val="-4"/>
          <w:lang w:val="en-US"/>
        </w:rPr>
        <w:t xml:space="preserve">value funded by two </w:t>
      </w:r>
      <w:r w:rsidR="00C21088" w:rsidRPr="00227C94">
        <w:rPr>
          <w:color w:val="auto"/>
          <w:spacing w:val="-4"/>
          <w:lang w:val="en-US"/>
        </w:rPr>
        <w:t>USD</w:t>
      </w:r>
      <w:r w:rsidRPr="00227C94">
        <w:rPr>
          <w:color w:val="auto"/>
          <w:spacing w:val="-4"/>
          <w:lang w:val="en-US"/>
        </w:rPr>
        <w:t>100 million loans from HSBC and Unicredit Bank, see note (vii) and (viii) below.</w:t>
      </w:r>
    </w:p>
    <w:p w:rsidR="00916675" w:rsidRPr="00227C94" w:rsidRDefault="00916675" w:rsidP="00AF493A">
      <w:pPr>
        <w:pStyle w:val="23"/>
        <w:rPr>
          <w:color w:val="auto"/>
          <w:lang w:val="en-US"/>
        </w:rPr>
      </w:pPr>
    </w:p>
    <w:p w:rsidR="00916675" w:rsidRPr="00227C94" w:rsidRDefault="00916675" w:rsidP="00AF493A">
      <w:pPr>
        <w:pStyle w:val="3"/>
        <w:rPr>
          <w:b/>
          <w:lang w:val="en-US"/>
        </w:rPr>
      </w:pPr>
      <w:r w:rsidRPr="00227C94">
        <w:rPr>
          <w:b/>
          <w:lang w:val="en-US"/>
        </w:rPr>
        <w:t>Loans payable to Gold Lion Holdings Limited</w:t>
      </w:r>
    </w:p>
    <w:p w:rsidR="00916675" w:rsidRPr="00227C94" w:rsidRDefault="00916675" w:rsidP="00AF493A">
      <w:pPr>
        <w:pStyle w:val="23"/>
        <w:rPr>
          <w:color w:val="auto"/>
          <w:lang w:val="en-US"/>
        </w:rPr>
      </w:pPr>
    </w:p>
    <w:p w:rsidR="00916675" w:rsidRPr="00227C94" w:rsidRDefault="00916675" w:rsidP="00AF493A">
      <w:pPr>
        <w:pStyle w:val="23"/>
        <w:rPr>
          <w:color w:val="auto"/>
          <w:spacing w:val="-2"/>
          <w:lang w:val="en-US"/>
        </w:rPr>
      </w:pPr>
      <w:r w:rsidRPr="00227C94">
        <w:rPr>
          <w:color w:val="auto"/>
          <w:spacing w:val="-2"/>
          <w:lang w:val="en-US"/>
        </w:rPr>
        <w:t xml:space="preserve">On 11 June 2009, </w:t>
      </w:r>
      <w:r w:rsidRPr="00227C94">
        <w:rPr>
          <w:color w:val="auto"/>
          <w:lang w:val="en-US"/>
        </w:rPr>
        <w:t xml:space="preserve">PGIL (formerly </w:t>
      </w:r>
      <w:r w:rsidRPr="00227C94">
        <w:rPr>
          <w:color w:val="auto"/>
          <w:spacing w:val="-2"/>
          <w:lang w:val="en-US"/>
        </w:rPr>
        <w:t xml:space="preserve">KazakhGold) signed two loan agreements with Gold Lion Holdings </w:t>
      </w:r>
      <w:r w:rsidRPr="00227C94">
        <w:rPr>
          <w:color w:val="auto"/>
          <w:lang w:val="en-US"/>
        </w:rPr>
        <w:t>Limited, an entity that was, at that time, a related party. The loan agreements have a 10% interest rate per annum. Principal amounts of USD21</w:t>
      </w:r>
      <w:proofErr w:type="gramStart"/>
      <w:r w:rsidRPr="00227C94">
        <w:rPr>
          <w:color w:val="auto"/>
          <w:lang w:val="en-US"/>
        </w:rPr>
        <w:t>,650</w:t>
      </w:r>
      <w:proofErr w:type="gramEnd"/>
      <w:r w:rsidRPr="00227C94">
        <w:rPr>
          <w:color w:val="auto"/>
          <w:lang w:val="en-US"/>
        </w:rPr>
        <w:t xml:space="preserve"> thousand and USD9,375 thousand together with accrued interest are payable on 6 November 2014 in full or a part is convertible into PGIL’s (formerly </w:t>
      </w:r>
      <w:r w:rsidRPr="00227C94">
        <w:rPr>
          <w:color w:val="auto"/>
          <w:spacing w:val="-2"/>
          <w:lang w:val="en-US"/>
        </w:rPr>
        <w:t xml:space="preserve">KazakhGold) ordinary shares (see note 15) at a rate of USD 1.50 per one share. Conversion is subject </w:t>
      </w:r>
      <w:r w:rsidRPr="00227C94">
        <w:rPr>
          <w:color w:val="auto"/>
          <w:lang w:val="en-US"/>
        </w:rPr>
        <w:t xml:space="preserve">to several restrictions, including the Republic of Kazakhstan’s regulatory approval and approval from the Company. In September 2009, Gold Lion Holdings Limited granted a call option to Jenington, or </w:t>
      </w:r>
      <w:r w:rsidRPr="00227C94">
        <w:rPr>
          <w:color w:val="auto"/>
          <w:spacing w:val="-2"/>
          <w:lang w:val="en-US"/>
        </w:rPr>
        <w:t>any other direct or indirect subsidiary of Polyus Gold, to acquire all the rights and interests under these loan agreements, including the conversion right.</w:t>
      </w:r>
    </w:p>
    <w:p w:rsidR="00916675" w:rsidRPr="00227C94" w:rsidRDefault="00916675" w:rsidP="00AF493A">
      <w:pPr>
        <w:pStyle w:val="23"/>
        <w:rPr>
          <w:color w:val="auto"/>
          <w:lang w:val="en-US"/>
        </w:rPr>
      </w:pPr>
    </w:p>
    <w:p w:rsidR="00916675" w:rsidRPr="00227C94" w:rsidRDefault="00916675" w:rsidP="00AF493A">
      <w:pPr>
        <w:pStyle w:val="23"/>
        <w:rPr>
          <w:color w:val="auto"/>
          <w:lang w:val="en-US"/>
        </w:rPr>
      </w:pPr>
      <w:r w:rsidRPr="00227C94">
        <w:rPr>
          <w:color w:val="auto"/>
          <w:lang w:val="en-US"/>
        </w:rPr>
        <w:t>The effective interest rate on these loans was 16% per annum.</w:t>
      </w:r>
    </w:p>
    <w:p w:rsidR="00916675" w:rsidRPr="00227C94" w:rsidRDefault="00916675" w:rsidP="00AF493A">
      <w:pPr>
        <w:pStyle w:val="23"/>
        <w:rPr>
          <w:color w:val="auto"/>
          <w:lang w:val="en-US"/>
        </w:rPr>
      </w:pPr>
    </w:p>
    <w:p w:rsidR="00916675" w:rsidRPr="00227C94" w:rsidRDefault="00916675" w:rsidP="00AF493A">
      <w:pPr>
        <w:pStyle w:val="3"/>
        <w:rPr>
          <w:b/>
        </w:rPr>
      </w:pPr>
      <w:r w:rsidRPr="00227C94">
        <w:rPr>
          <w:b/>
        </w:rPr>
        <w:t>Societe Generale credit facility</w:t>
      </w:r>
    </w:p>
    <w:p w:rsidR="00916675" w:rsidRPr="00227C94" w:rsidRDefault="00916675" w:rsidP="00AF493A">
      <w:pPr>
        <w:pStyle w:val="23"/>
        <w:rPr>
          <w:color w:val="auto"/>
        </w:rPr>
      </w:pPr>
    </w:p>
    <w:p w:rsidR="00916675" w:rsidRPr="00227C94" w:rsidRDefault="00916675" w:rsidP="00AF493A">
      <w:pPr>
        <w:pStyle w:val="23"/>
        <w:rPr>
          <w:color w:val="auto"/>
          <w:lang w:val="en-US"/>
        </w:rPr>
      </w:pPr>
      <w:r w:rsidRPr="00227C94">
        <w:rPr>
          <w:color w:val="auto"/>
          <w:lang w:val="en-US"/>
        </w:rPr>
        <w:t>On 15 May 2012 the Societe Generale credit facility and corresponding accrued interest were fully repaid.</w:t>
      </w:r>
    </w:p>
    <w:p w:rsidR="00AF493A" w:rsidRPr="00227C94" w:rsidRDefault="00AF493A" w:rsidP="00AF493A">
      <w:pPr>
        <w:pStyle w:val="23"/>
        <w:rPr>
          <w:color w:val="auto"/>
          <w:lang w:val="en-US"/>
        </w:rPr>
      </w:pPr>
    </w:p>
    <w:p w:rsidR="00916675" w:rsidRPr="00227C94" w:rsidRDefault="00916675" w:rsidP="00AF493A">
      <w:pPr>
        <w:pStyle w:val="a4"/>
        <w:pageBreakBefore/>
        <w:tabs>
          <w:tab w:val="left" w:pos="476"/>
        </w:tabs>
        <w:rPr>
          <w:b/>
        </w:rPr>
      </w:pPr>
      <w:r w:rsidRPr="00227C94">
        <w:rPr>
          <w:b/>
        </w:rPr>
        <w:lastRenderedPageBreak/>
        <w:t>16.</w:t>
      </w:r>
      <w:r w:rsidRPr="00227C94">
        <w:rPr>
          <w:b/>
        </w:rPr>
        <w:tab/>
      </w:r>
      <w:r w:rsidR="00AF493A" w:rsidRPr="00227C94">
        <w:rPr>
          <w:b/>
        </w:rPr>
        <w:t xml:space="preserve">BORROWINGS </w:t>
      </w:r>
      <w:r w:rsidRPr="00227C94">
        <w:rPr>
          <w:b/>
        </w:rPr>
        <w:t>(continued)</w:t>
      </w:r>
    </w:p>
    <w:p w:rsidR="00916675" w:rsidRPr="00227C94" w:rsidRDefault="00916675" w:rsidP="00AF493A">
      <w:pPr>
        <w:pStyle w:val="23"/>
        <w:rPr>
          <w:color w:val="auto"/>
        </w:rPr>
      </w:pPr>
    </w:p>
    <w:p w:rsidR="00916675" w:rsidRPr="00227C94" w:rsidRDefault="00916675" w:rsidP="00AF493A">
      <w:pPr>
        <w:pStyle w:val="3"/>
        <w:rPr>
          <w:b/>
        </w:rPr>
      </w:pPr>
      <w:r w:rsidRPr="00227C94">
        <w:rPr>
          <w:b/>
        </w:rPr>
        <w:t>VTB credit facility</w:t>
      </w:r>
    </w:p>
    <w:p w:rsidR="00916675" w:rsidRPr="00227C94" w:rsidRDefault="00916675" w:rsidP="00AF493A">
      <w:pPr>
        <w:pStyle w:val="23"/>
        <w:rPr>
          <w:color w:val="auto"/>
        </w:rPr>
      </w:pPr>
    </w:p>
    <w:p w:rsidR="00916675" w:rsidRPr="00227C94" w:rsidRDefault="00916675" w:rsidP="00AF493A">
      <w:pPr>
        <w:pStyle w:val="23"/>
        <w:rPr>
          <w:color w:val="auto"/>
          <w:lang w:val="en-US"/>
        </w:rPr>
      </w:pPr>
      <w:r w:rsidRPr="00227C94">
        <w:rPr>
          <w:color w:val="auto"/>
          <w:lang w:val="en-US"/>
        </w:rPr>
        <w:t>On 15 May 2012, the VTB credit facility and corresponding accrued interest were fully repaid.</w:t>
      </w:r>
    </w:p>
    <w:p w:rsidR="00916675" w:rsidRPr="00227C94" w:rsidRDefault="00916675" w:rsidP="00AF493A">
      <w:pPr>
        <w:pStyle w:val="23"/>
        <w:rPr>
          <w:color w:val="auto"/>
          <w:lang w:val="en-US"/>
        </w:rPr>
      </w:pPr>
    </w:p>
    <w:p w:rsidR="00916675" w:rsidRPr="00227C94" w:rsidRDefault="00916675" w:rsidP="00AF493A">
      <w:pPr>
        <w:pStyle w:val="3"/>
        <w:rPr>
          <w:b/>
          <w:lang w:val="en-US"/>
        </w:rPr>
      </w:pPr>
      <w:r w:rsidRPr="00227C94">
        <w:rPr>
          <w:b/>
          <w:lang w:val="en-US"/>
        </w:rPr>
        <w:t>Societe Generale credit facility to OJSC “Pervenets”</w:t>
      </w:r>
    </w:p>
    <w:p w:rsidR="00916675" w:rsidRPr="00227C94" w:rsidRDefault="00916675" w:rsidP="00AF493A">
      <w:pPr>
        <w:pStyle w:val="23"/>
        <w:rPr>
          <w:color w:val="auto"/>
          <w:lang w:val="en-US"/>
        </w:rPr>
      </w:pPr>
    </w:p>
    <w:p w:rsidR="00916675" w:rsidRPr="00227C94" w:rsidRDefault="00916675" w:rsidP="00AF493A">
      <w:pPr>
        <w:pStyle w:val="23"/>
        <w:rPr>
          <w:color w:val="auto"/>
          <w:lang w:val="en-US"/>
        </w:rPr>
      </w:pPr>
      <w:r w:rsidRPr="00227C94">
        <w:rPr>
          <w:color w:val="auto"/>
          <w:lang w:val="en-US"/>
        </w:rPr>
        <w:t xml:space="preserve">On 4 October 2011, OJSC “Pervenets”, a subsidiary of the Group, entered into a three year </w:t>
      </w:r>
      <w:r w:rsidR="00AF493A" w:rsidRPr="00227C94">
        <w:rPr>
          <w:color w:val="auto"/>
          <w:lang w:val="en-US"/>
        </w:rPr>
        <w:br/>
      </w:r>
      <w:r w:rsidRPr="00227C94">
        <w:rPr>
          <w:color w:val="auto"/>
          <w:lang w:val="en-US"/>
        </w:rPr>
        <w:t>USD 100 million term loan facility agreement with Societe Generale as a lender to fund general corporate purposes. On 6 October 2011 Societe Generale transferred USD50 million of the facility to a new lender, Unicredit Bank [see note (</w:t>
      </w:r>
      <w:proofErr w:type="gramStart"/>
      <w:r w:rsidRPr="00227C94">
        <w:rPr>
          <w:color w:val="auto"/>
          <w:lang w:val="en-US"/>
        </w:rPr>
        <w:t>vi</w:t>
      </w:r>
      <w:proofErr w:type="gramEnd"/>
      <w:r w:rsidRPr="00227C94">
        <w:rPr>
          <w:color w:val="auto"/>
          <w:lang w:val="en-US"/>
        </w:rPr>
        <w:t>) below]. As of 30 June 2012 USD50 million had been drawn down. The facility is to be repaid in nine equal instalments in intervals of three months starting from 4 October 2012.</w:t>
      </w:r>
    </w:p>
    <w:p w:rsidR="00916675" w:rsidRPr="00227C94" w:rsidRDefault="00916675" w:rsidP="00AF493A">
      <w:pPr>
        <w:pStyle w:val="23"/>
        <w:rPr>
          <w:color w:val="auto"/>
          <w:lang w:val="en-US"/>
        </w:rPr>
      </w:pPr>
    </w:p>
    <w:p w:rsidR="00916675" w:rsidRPr="00227C94" w:rsidRDefault="00916675" w:rsidP="00AF493A">
      <w:pPr>
        <w:pStyle w:val="3"/>
        <w:rPr>
          <w:b/>
          <w:lang w:val="en-US"/>
        </w:rPr>
      </w:pPr>
      <w:r w:rsidRPr="00227C94">
        <w:rPr>
          <w:b/>
          <w:lang w:val="en-US"/>
        </w:rPr>
        <w:t>Unicredit Bank credit facility to OJSC “Pervenets”</w:t>
      </w:r>
    </w:p>
    <w:p w:rsidR="00916675" w:rsidRPr="00227C94" w:rsidRDefault="00916675" w:rsidP="00AF493A">
      <w:pPr>
        <w:pStyle w:val="23"/>
        <w:rPr>
          <w:color w:val="auto"/>
          <w:lang w:val="en-US"/>
        </w:rPr>
      </w:pPr>
    </w:p>
    <w:p w:rsidR="00916675" w:rsidRPr="00227C94" w:rsidRDefault="00916675" w:rsidP="00AF493A">
      <w:pPr>
        <w:pStyle w:val="23"/>
        <w:rPr>
          <w:color w:val="auto"/>
          <w:lang w:val="en-US"/>
        </w:rPr>
      </w:pPr>
      <w:r w:rsidRPr="00227C94">
        <w:rPr>
          <w:color w:val="auto"/>
          <w:lang w:val="en-US"/>
        </w:rPr>
        <w:t>On 6 October 2011 Societe Generale transferred USD50 million of the facility [see note (v) above] to a new lender Unicredit Bank. As of 30 June 2012 USD50 million had been drawn down. The facility is to be repaid in nine equal instalments in intervals of three months starting from 4 October 2012.</w:t>
      </w:r>
    </w:p>
    <w:p w:rsidR="00916675" w:rsidRPr="00227C94" w:rsidRDefault="00916675" w:rsidP="00AF493A">
      <w:pPr>
        <w:pStyle w:val="23"/>
        <w:rPr>
          <w:color w:val="auto"/>
          <w:lang w:val="en-US"/>
        </w:rPr>
      </w:pPr>
    </w:p>
    <w:p w:rsidR="00916675" w:rsidRPr="00227C94" w:rsidRDefault="00916675" w:rsidP="00AF493A">
      <w:pPr>
        <w:pStyle w:val="3"/>
        <w:rPr>
          <w:b/>
        </w:rPr>
      </w:pPr>
      <w:r w:rsidRPr="00227C94">
        <w:rPr>
          <w:b/>
        </w:rPr>
        <w:t>HSBC credit facility</w:t>
      </w:r>
    </w:p>
    <w:p w:rsidR="00916675" w:rsidRPr="00227C94" w:rsidRDefault="00916675" w:rsidP="00AF493A">
      <w:pPr>
        <w:pStyle w:val="23"/>
        <w:rPr>
          <w:color w:val="auto"/>
        </w:rPr>
      </w:pPr>
    </w:p>
    <w:p w:rsidR="00916675" w:rsidRPr="00227C94" w:rsidRDefault="00916675" w:rsidP="00AF493A">
      <w:pPr>
        <w:pStyle w:val="23"/>
        <w:rPr>
          <w:color w:val="auto"/>
          <w:lang w:val="en-US"/>
        </w:rPr>
      </w:pPr>
      <w:r w:rsidRPr="00227C94">
        <w:rPr>
          <w:color w:val="auto"/>
          <w:lang w:val="en-US"/>
        </w:rPr>
        <w:t>On 10 February 2012, the Group entered into a three year USD100 million credit facility with HSBC to fund the redemption of Guaranteed senior notes [see note (i)]. The interest rate is set at 3 months USD LIBOR+3%. The facility was fully utilised as of 30 June 2012.</w:t>
      </w:r>
    </w:p>
    <w:p w:rsidR="00916675" w:rsidRPr="00227C94" w:rsidRDefault="00916675" w:rsidP="00AF493A">
      <w:pPr>
        <w:pStyle w:val="23"/>
        <w:rPr>
          <w:color w:val="auto"/>
          <w:lang w:val="en-US"/>
        </w:rPr>
      </w:pPr>
    </w:p>
    <w:p w:rsidR="00916675" w:rsidRPr="00227C94" w:rsidRDefault="00916675" w:rsidP="00AF493A">
      <w:pPr>
        <w:pStyle w:val="3"/>
        <w:rPr>
          <w:b/>
        </w:rPr>
      </w:pPr>
      <w:r w:rsidRPr="00227C94">
        <w:rPr>
          <w:b/>
        </w:rPr>
        <w:t>Unicredit Bank credit facility</w:t>
      </w:r>
    </w:p>
    <w:p w:rsidR="00916675" w:rsidRPr="00227C94" w:rsidRDefault="00916675" w:rsidP="00AF493A">
      <w:pPr>
        <w:pStyle w:val="23"/>
        <w:rPr>
          <w:color w:val="auto"/>
        </w:rPr>
      </w:pPr>
    </w:p>
    <w:p w:rsidR="00916675" w:rsidRPr="00227C94" w:rsidRDefault="00916675" w:rsidP="00AF493A">
      <w:pPr>
        <w:pStyle w:val="23"/>
        <w:rPr>
          <w:color w:val="auto"/>
          <w:lang w:val="en-US"/>
        </w:rPr>
      </w:pPr>
      <w:r w:rsidRPr="00227C94">
        <w:rPr>
          <w:color w:val="auto"/>
          <w:lang w:val="en-US"/>
        </w:rPr>
        <w:t>On 29 December 2011, PGIL entered into a two year USD100 million facility agreement arranged by Unicredit Bank to fund the redemption of Guaranteed senior notes [see note (i)]. The interest rate is set at LIBOR + 2.95%. The facility was fully utilised as of 30 June 2012.</w:t>
      </w:r>
    </w:p>
    <w:p w:rsidR="00916675" w:rsidRPr="00227C94" w:rsidRDefault="00916675" w:rsidP="00AF493A">
      <w:pPr>
        <w:pStyle w:val="23"/>
        <w:rPr>
          <w:b/>
          <w:color w:val="auto"/>
          <w:lang w:val="en-US"/>
        </w:rPr>
      </w:pPr>
    </w:p>
    <w:p w:rsidR="00916675" w:rsidRPr="00227C94" w:rsidRDefault="00916675" w:rsidP="00AF493A">
      <w:pPr>
        <w:pStyle w:val="3"/>
        <w:rPr>
          <w:b/>
        </w:rPr>
      </w:pPr>
      <w:r w:rsidRPr="00227C94">
        <w:rPr>
          <w:b/>
        </w:rPr>
        <w:t>Unused credit facilities</w:t>
      </w:r>
    </w:p>
    <w:p w:rsidR="00916675" w:rsidRPr="00227C94" w:rsidRDefault="00916675" w:rsidP="00AF493A">
      <w:pPr>
        <w:pStyle w:val="23"/>
        <w:rPr>
          <w:color w:val="auto"/>
        </w:rPr>
      </w:pPr>
    </w:p>
    <w:p w:rsidR="00916675" w:rsidRPr="00227C94" w:rsidRDefault="00916675" w:rsidP="00AF493A">
      <w:pPr>
        <w:pStyle w:val="23"/>
        <w:rPr>
          <w:color w:val="auto"/>
          <w:lang w:val="en-US"/>
        </w:rPr>
      </w:pPr>
      <w:r w:rsidRPr="00227C94">
        <w:rPr>
          <w:color w:val="auto"/>
          <w:lang w:val="en-US"/>
        </w:rPr>
        <w:t xml:space="preserve">On 15 March 2012, CJSC “Gold Mining Company Polyus”, a subsidiary of the Group, entered into </w:t>
      </w:r>
      <w:r w:rsidR="00AF493A" w:rsidRPr="00227C94">
        <w:rPr>
          <w:color w:val="auto"/>
          <w:lang w:val="en-US"/>
        </w:rPr>
        <w:br/>
      </w:r>
      <w:r w:rsidRPr="00227C94">
        <w:rPr>
          <w:color w:val="auto"/>
          <w:lang w:val="en-US"/>
        </w:rPr>
        <w:t>a three year RUB 10 billion (approximately USD 305 million) credit line with VTB to fund its general corporate purposes. The interest rate is subject for a separate agreement under each of the credit line drawdowns but could not exceed 20% or MosPrime Rate + 6.5% for RUB denominated drawdown and 14% or LIBOR/EURIBOR + 13.5% – for USD/EURO denominated drawdown.</w:t>
      </w:r>
    </w:p>
    <w:p w:rsidR="00916675" w:rsidRPr="00227C94" w:rsidRDefault="00916675" w:rsidP="00AF493A">
      <w:pPr>
        <w:pStyle w:val="23"/>
        <w:rPr>
          <w:color w:val="auto"/>
          <w:lang w:val="en-US"/>
        </w:rPr>
      </w:pPr>
    </w:p>
    <w:p w:rsidR="00916675" w:rsidRPr="00227C94" w:rsidRDefault="00916675" w:rsidP="00AF493A">
      <w:pPr>
        <w:pStyle w:val="23"/>
        <w:rPr>
          <w:color w:val="auto"/>
          <w:lang w:val="en-US"/>
        </w:rPr>
      </w:pPr>
      <w:r w:rsidRPr="00227C94">
        <w:rPr>
          <w:color w:val="auto"/>
          <w:lang w:val="en-US"/>
        </w:rPr>
        <w:t>As of 30 June 2012 a USD67</w:t>
      </w:r>
      <w:proofErr w:type="gramStart"/>
      <w:r w:rsidRPr="00227C94">
        <w:rPr>
          <w:color w:val="auto"/>
          <w:lang w:val="en-US"/>
        </w:rPr>
        <w:t>,502</w:t>
      </w:r>
      <w:proofErr w:type="gramEnd"/>
      <w:r w:rsidRPr="00227C94">
        <w:rPr>
          <w:color w:val="auto"/>
          <w:lang w:val="en-US"/>
        </w:rPr>
        <w:t xml:space="preserve"> thousand export financing credit facility agreement with Societe Generale as a lender for making available the extension of financing to be used for the purchase of goods and services and related exposure fees was not used. The establishment of the facility is for facilitation of exports from the United States of America and guaranteed by Export-Import Bank of the United States.</w:t>
      </w:r>
    </w:p>
    <w:p w:rsidR="00916675" w:rsidRPr="00227C94" w:rsidRDefault="00916675" w:rsidP="00AF493A">
      <w:pPr>
        <w:pStyle w:val="23"/>
        <w:rPr>
          <w:color w:val="auto"/>
          <w:lang w:val="en-US"/>
        </w:rPr>
      </w:pPr>
    </w:p>
    <w:p w:rsidR="00916675" w:rsidRPr="00227C94" w:rsidRDefault="00916675" w:rsidP="00AF493A">
      <w:pPr>
        <w:pStyle w:val="23"/>
        <w:rPr>
          <w:color w:val="auto"/>
          <w:lang w:val="en-US"/>
        </w:rPr>
      </w:pPr>
      <w:r w:rsidRPr="00227C94">
        <w:rPr>
          <w:color w:val="auto"/>
          <w:lang w:val="en-US"/>
        </w:rPr>
        <w:t xml:space="preserve">HSBC, Unicredit Bank and Societe Generale credit facilities contain certain financial covenants. </w:t>
      </w:r>
      <w:r w:rsidR="00AF493A" w:rsidRPr="00227C94">
        <w:rPr>
          <w:color w:val="auto"/>
          <w:lang w:val="en-US"/>
        </w:rPr>
        <w:br/>
      </w:r>
      <w:r w:rsidRPr="00227C94">
        <w:rPr>
          <w:color w:val="auto"/>
          <w:lang w:val="en-US"/>
        </w:rPr>
        <w:t>The Group believes that it was in compliance with these covenants as of 30 June 2012.</w:t>
      </w:r>
    </w:p>
    <w:p w:rsidR="00916675" w:rsidRPr="00227C94" w:rsidRDefault="00916675" w:rsidP="00AF493A">
      <w:pPr>
        <w:pStyle w:val="23"/>
        <w:rPr>
          <w:color w:val="auto"/>
          <w:lang w:val="en-US"/>
        </w:rPr>
      </w:pPr>
    </w:p>
    <w:p w:rsidR="00916675" w:rsidRPr="00227C94" w:rsidRDefault="00916675" w:rsidP="00AF493A">
      <w:pPr>
        <w:pStyle w:val="23"/>
        <w:rPr>
          <w:color w:val="auto"/>
          <w:lang w:val="en-US"/>
        </w:rPr>
      </w:pPr>
    </w:p>
    <w:p w:rsidR="00916675" w:rsidRPr="00227C94" w:rsidRDefault="00AF493A" w:rsidP="00AF493A">
      <w:pPr>
        <w:pStyle w:val="1"/>
        <w:rPr>
          <w:lang w:val="en-US"/>
        </w:rPr>
      </w:pPr>
      <w:r w:rsidRPr="00227C94">
        <w:rPr>
          <w:lang w:val="en-US"/>
        </w:rPr>
        <w:br w:type="page"/>
      </w:r>
      <w:r w:rsidR="00916675" w:rsidRPr="00227C94">
        <w:rPr>
          <w:lang w:val="en-US"/>
        </w:rPr>
        <w:lastRenderedPageBreak/>
        <w:t>Notes to the consolidated statement of Cash flows</w:t>
      </w:r>
    </w:p>
    <w:p w:rsidR="00916675" w:rsidRPr="00227C94" w:rsidRDefault="00916675" w:rsidP="00AF493A">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3325"/>
        <w:gridCol w:w="793"/>
        <w:gridCol w:w="1417"/>
        <w:gridCol w:w="283"/>
        <w:gridCol w:w="1417"/>
        <w:gridCol w:w="283"/>
        <w:gridCol w:w="1417"/>
      </w:tblGrid>
      <w:tr w:rsidR="00916675" w:rsidRPr="00227C94" w:rsidTr="00A701F4">
        <w:trPr>
          <w:cantSplit/>
        </w:trPr>
        <w:tc>
          <w:tcPr>
            <w:tcW w:w="3325" w:type="dxa"/>
            <w:shd w:val="clear" w:color="auto" w:fill="auto"/>
            <w:vAlign w:val="bottom"/>
          </w:tcPr>
          <w:p w:rsidR="00916675" w:rsidRPr="00227C94" w:rsidRDefault="00916675" w:rsidP="00AF493A">
            <w:pPr>
              <w:pStyle w:val="tblHeaderText"/>
              <w:jc w:val="left"/>
              <w:rPr>
                <w:lang w:val="en-US"/>
              </w:rPr>
            </w:pPr>
          </w:p>
        </w:tc>
        <w:tc>
          <w:tcPr>
            <w:tcW w:w="793" w:type="dxa"/>
            <w:shd w:val="clear" w:color="auto" w:fill="auto"/>
            <w:vAlign w:val="bottom"/>
          </w:tcPr>
          <w:p w:rsidR="00916675" w:rsidRPr="00227C94" w:rsidRDefault="00916675" w:rsidP="00AF493A">
            <w:pPr>
              <w:pStyle w:val="tblHeaderText"/>
            </w:pPr>
            <w:r w:rsidRPr="00227C94">
              <w:t>Note</w:t>
            </w:r>
          </w:p>
        </w:tc>
        <w:tc>
          <w:tcPr>
            <w:tcW w:w="1417" w:type="dxa"/>
            <w:tcBorders>
              <w:bottom w:val="single" w:sz="6" w:space="0" w:color="auto"/>
            </w:tcBorders>
            <w:shd w:val="clear" w:color="auto" w:fill="auto"/>
            <w:vAlign w:val="bottom"/>
          </w:tcPr>
          <w:p w:rsidR="00916675" w:rsidRPr="00227C94" w:rsidRDefault="00916675" w:rsidP="00AF493A">
            <w:pPr>
              <w:pStyle w:val="tblHeaderText"/>
            </w:pPr>
            <w:r w:rsidRPr="00227C94">
              <w:t xml:space="preserve">Six months ended </w:t>
            </w:r>
            <w:r w:rsidR="00AF493A" w:rsidRPr="00227C94">
              <w:rPr>
                <w:lang w:val="en-US"/>
              </w:rPr>
              <w:br/>
            </w:r>
            <w:r w:rsidRPr="00227C94">
              <w:t>30 June 2012</w:t>
            </w:r>
          </w:p>
        </w:tc>
        <w:tc>
          <w:tcPr>
            <w:tcW w:w="283" w:type="dxa"/>
            <w:shd w:val="clear" w:color="auto" w:fill="auto"/>
          </w:tcPr>
          <w:p w:rsidR="00916675" w:rsidRPr="00227C94" w:rsidRDefault="00916675" w:rsidP="00AF493A">
            <w:pPr>
              <w:pStyle w:val="tblHeaderText"/>
            </w:pPr>
          </w:p>
        </w:tc>
        <w:tc>
          <w:tcPr>
            <w:tcW w:w="1417" w:type="dxa"/>
            <w:tcBorders>
              <w:bottom w:val="single" w:sz="6" w:space="0" w:color="auto"/>
            </w:tcBorders>
            <w:shd w:val="clear" w:color="auto" w:fill="auto"/>
            <w:vAlign w:val="bottom"/>
          </w:tcPr>
          <w:p w:rsidR="00916675" w:rsidRPr="00227C94" w:rsidRDefault="00916675" w:rsidP="00AF493A">
            <w:pPr>
              <w:pStyle w:val="tblHeaderText"/>
            </w:pPr>
            <w:r w:rsidRPr="00227C94">
              <w:t xml:space="preserve">Six months ended </w:t>
            </w:r>
            <w:r w:rsidR="00AF493A" w:rsidRPr="00227C94">
              <w:rPr>
                <w:lang w:val="en-US"/>
              </w:rPr>
              <w:br/>
            </w:r>
            <w:r w:rsidRPr="00227C94">
              <w:t>30 June 2011</w:t>
            </w:r>
          </w:p>
        </w:tc>
        <w:tc>
          <w:tcPr>
            <w:tcW w:w="283" w:type="dxa"/>
            <w:shd w:val="clear" w:color="auto" w:fill="auto"/>
          </w:tcPr>
          <w:p w:rsidR="00916675" w:rsidRPr="00227C94" w:rsidRDefault="00916675" w:rsidP="00AF493A">
            <w:pPr>
              <w:pStyle w:val="tblHeaderText"/>
            </w:pPr>
          </w:p>
        </w:tc>
        <w:tc>
          <w:tcPr>
            <w:tcW w:w="1417" w:type="dxa"/>
            <w:tcBorders>
              <w:bottom w:val="single" w:sz="6" w:space="0" w:color="auto"/>
            </w:tcBorders>
            <w:shd w:val="clear" w:color="auto" w:fill="auto"/>
          </w:tcPr>
          <w:p w:rsidR="00916675" w:rsidRPr="00227C94" w:rsidRDefault="00916675" w:rsidP="00AF493A">
            <w:pPr>
              <w:pStyle w:val="tblHeaderText"/>
            </w:pPr>
            <w:r w:rsidRPr="00227C94">
              <w:t>Year ended</w:t>
            </w:r>
          </w:p>
          <w:p w:rsidR="00916675" w:rsidRPr="00227C94" w:rsidRDefault="00916675" w:rsidP="00AF493A">
            <w:pPr>
              <w:pStyle w:val="tblHeaderText"/>
            </w:pPr>
            <w:r w:rsidRPr="00227C94">
              <w:t>31 December 2011</w:t>
            </w:r>
          </w:p>
        </w:tc>
      </w:tr>
      <w:tr w:rsidR="00916675" w:rsidRPr="00227C94" w:rsidTr="00AF493A">
        <w:trPr>
          <w:cantSplit/>
        </w:trPr>
        <w:tc>
          <w:tcPr>
            <w:tcW w:w="3325" w:type="dxa"/>
            <w:shd w:val="clear" w:color="auto" w:fill="auto"/>
            <w:vAlign w:val="bottom"/>
          </w:tcPr>
          <w:p w:rsidR="00916675" w:rsidRPr="00227C94" w:rsidRDefault="00916675" w:rsidP="00AF493A">
            <w:pPr>
              <w:pStyle w:val="tblText02"/>
            </w:pPr>
          </w:p>
        </w:tc>
        <w:tc>
          <w:tcPr>
            <w:tcW w:w="793" w:type="dxa"/>
            <w:shd w:val="clear" w:color="auto" w:fill="auto"/>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r>
      <w:tr w:rsidR="00916675" w:rsidRPr="00227C94" w:rsidTr="00AF493A">
        <w:trPr>
          <w:cantSplit/>
        </w:trPr>
        <w:tc>
          <w:tcPr>
            <w:tcW w:w="3325" w:type="dxa"/>
            <w:shd w:val="clear" w:color="auto" w:fill="auto"/>
          </w:tcPr>
          <w:p w:rsidR="00916675" w:rsidRPr="00227C94" w:rsidRDefault="00916675" w:rsidP="00AF493A">
            <w:pPr>
              <w:pStyle w:val="tblText02"/>
              <w:rPr>
                <w:b/>
              </w:rPr>
            </w:pPr>
            <w:r w:rsidRPr="00227C94">
              <w:rPr>
                <w:b/>
              </w:rPr>
              <w:t>Profit before income tax</w:t>
            </w:r>
          </w:p>
        </w:tc>
        <w:tc>
          <w:tcPr>
            <w:tcW w:w="793" w:type="dxa"/>
            <w:shd w:val="clear" w:color="auto" w:fill="auto"/>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rPr>
                <w:b/>
              </w:rPr>
            </w:pPr>
            <w:r w:rsidRPr="00227C94">
              <w:rPr>
                <w:b/>
              </w:rPr>
              <w:t>538,922</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rPr>
                <w:b/>
              </w:rPr>
            </w:pPr>
            <w:r w:rsidRPr="00227C94">
              <w:rPr>
                <w:b/>
              </w:rPr>
              <w:t>267,200</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1"/>
              <w:rPr>
                <w:b/>
              </w:rPr>
            </w:pPr>
            <w:r w:rsidRPr="00227C94">
              <w:rPr>
                <w:b/>
              </w:rPr>
              <w:t>765,067</w:t>
            </w:r>
          </w:p>
        </w:tc>
      </w:tr>
      <w:tr w:rsidR="00916675" w:rsidRPr="00227C94" w:rsidTr="00AF493A">
        <w:trPr>
          <w:cantSplit/>
        </w:trPr>
        <w:tc>
          <w:tcPr>
            <w:tcW w:w="3325" w:type="dxa"/>
            <w:shd w:val="clear" w:color="auto" w:fill="auto"/>
          </w:tcPr>
          <w:p w:rsidR="00916675" w:rsidRPr="00227C94" w:rsidRDefault="00916675" w:rsidP="00AF493A">
            <w:pPr>
              <w:pStyle w:val="tblText02"/>
            </w:pPr>
          </w:p>
        </w:tc>
        <w:tc>
          <w:tcPr>
            <w:tcW w:w="793" w:type="dxa"/>
            <w:shd w:val="clear" w:color="auto" w:fill="auto"/>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1"/>
            </w:pPr>
          </w:p>
        </w:tc>
      </w:tr>
      <w:tr w:rsidR="00916675" w:rsidRPr="00227C94" w:rsidTr="00AF493A">
        <w:trPr>
          <w:cantSplit/>
        </w:trPr>
        <w:tc>
          <w:tcPr>
            <w:tcW w:w="3325" w:type="dxa"/>
            <w:shd w:val="clear" w:color="auto" w:fill="auto"/>
          </w:tcPr>
          <w:p w:rsidR="00916675" w:rsidRPr="00227C94" w:rsidRDefault="00916675" w:rsidP="00AF493A">
            <w:pPr>
              <w:pStyle w:val="tblText02"/>
            </w:pPr>
            <w:r w:rsidRPr="00227C94">
              <w:t>Adjustments for:</w:t>
            </w:r>
          </w:p>
        </w:tc>
        <w:tc>
          <w:tcPr>
            <w:tcW w:w="793" w:type="dxa"/>
            <w:shd w:val="clear" w:color="auto" w:fill="auto"/>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1"/>
            </w:pPr>
          </w:p>
        </w:tc>
      </w:tr>
      <w:tr w:rsidR="00916675" w:rsidRPr="00227C94" w:rsidTr="00AF493A">
        <w:trPr>
          <w:cantSplit/>
        </w:trPr>
        <w:tc>
          <w:tcPr>
            <w:tcW w:w="3325" w:type="dxa"/>
            <w:shd w:val="clear" w:color="auto" w:fill="auto"/>
          </w:tcPr>
          <w:p w:rsidR="00916675" w:rsidRPr="00227C94" w:rsidRDefault="00916675" w:rsidP="00AF493A">
            <w:pPr>
              <w:pStyle w:val="tblText02"/>
              <w:ind w:left="397"/>
            </w:pPr>
            <w:r w:rsidRPr="00227C94">
              <w:t>Amortisation and depreciation</w:t>
            </w:r>
          </w:p>
        </w:tc>
        <w:tc>
          <w:tcPr>
            <w:tcW w:w="793" w:type="dxa"/>
            <w:shd w:val="clear" w:color="auto" w:fill="auto"/>
            <w:vAlign w:val="bottom"/>
          </w:tcPr>
          <w:p w:rsidR="00916675" w:rsidRPr="00227C94" w:rsidRDefault="00916675" w:rsidP="00AF493A">
            <w:pPr>
              <w:pStyle w:val="tblNumber01"/>
              <w:jc w:val="center"/>
            </w:pPr>
            <w:r w:rsidRPr="00227C94">
              <w:t>10</w:t>
            </w:r>
          </w:p>
        </w:tc>
        <w:tc>
          <w:tcPr>
            <w:tcW w:w="1417" w:type="dxa"/>
            <w:shd w:val="clear" w:color="auto" w:fill="auto"/>
            <w:vAlign w:val="bottom"/>
          </w:tcPr>
          <w:p w:rsidR="00916675" w:rsidRPr="00227C94" w:rsidRDefault="00916675" w:rsidP="00AF493A">
            <w:pPr>
              <w:pStyle w:val="tblNumber01"/>
            </w:pPr>
            <w:r w:rsidRPr="00227C94">
              <w:t>87,279</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93,645</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1"/>
            </w:pPr>
            <w:r w:rsidRPr="00227C94">
              <w:t>187,949</w:t>
            </w:r>
          </w:p>
        </w:tc>
      </w:tr>
      <w:tr w:rsidR="00916675" w:rsidRPr="00227C94" w:rsidTr="00AF493A">
        <w:trPr>
          <w:cantSplit/>
        </w:trPr>
        <w:tc>
          <w:tcPr>
            <w:tcW w:w="3325" w:type="dxa"/>
            <w:shd w:val="clear" w:color="auto" w:fill="auto"/>
          </w:tcPr>
          <w:p w:rsidR="00916675" w:rsidRPr="00227C94" w:rsidRDefault="00916675" w:rsidP="00AF493A">
            <w:pPr>
              <w:pStyle w:val="tblText02"/>
              <w:ind w:left="397"/>
            </w:pPr>
            <w:r w:rsidRPr="00227C94">
              <w:t>Finance costs</w:t>
            </w:r>
          </w:p>
        </w:tc>
        <w:tc>
          <w:tcPr>
            <w:tcW w:w="793" w:type="dxa"/>
            <w:shd w:val="clear" w:color="auto" w:fill="auto"/>
            <w:vAlign w:val="bottom"/>
          </w:tcPr>
          <w:p w:rsidR="00916675" w:rsidRPr="00227C94" w:rsidRDefault="00916675" w:rsidP="00AF493A">
            <w:pPr>
              <w:pStyle w:val="tblNumber01"/>
              <w:jc w:val="center"/>
            </w:pPr>
            <w:r w:rsidRPr="00227C94">
              <w:t>8</w:t>
            </w:r>
          </w:p>
        </w:tc>
        <w:tc>
          <w:tcPr>
            <w:tcW w:w="1417" w:type="dxa"/>
            <w:shd w:val="clear" w:color="auto" w:fill="auto"/>
            <w:vAlign w:val="bottom"/>
          </w:tcPr>
          <w:p w:rsidR="00916675" w:rsidRPr="00227C94" w:rsidRDefault="00916675" w:rsidP="00AF493A">
            <w:pPr>
              <w:pStyle w:val="tblNumber01"/>
            </w:pPr>
            <w:r w:rsidRPr="00227C94">
              <w:t>22,489</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22,712</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1"/>
            </w:pPr>
            <w:r w:rsidRPr="00227C94">
              <w:t>71,403</w:t>
            </w:r>
          </w:p>
        </w:tc>
      </w:tr>
      <w:tr w:rsidR="00916675" w:rsidRPr="00227C94" w:rsidTr="00AF493A">
        <w:trPr>
          <w:cantSplit/>
        </w:trPr>
        <w:tc>
          <w:tcPr>
            <w:tcW w:w="3325" w:type="dxa"/>
            <w:shd w:val="clear" w:color="auto" w:fill="auto"/>
          </w:tcPr>
          <w:p w:rsidR="00916675" w:rsidRPr="00227C94" w:rsidRDefault="00916675" w:rsidP="00AF493A">
            <w:pPr>
              <w:pStyle w:val="tblText02"/>
              <w:ind w:left="397"/>
            </w:pPr>
            <w:r w:rsidRPr="00227C94">
              <w:t>Expensed stripping cost</w:t>
            </w:r>
          </w:p>
        </w:tc>
        <w:tc>
          <w:tcPr>
            <w:tcW w:w="793" w:type="dxa"/>
            <w:shd w:val="clear" w:color="auto" w:fill="auto"/>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6,164</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27,070</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1"/>
            </w:pPr>
            <w:r w:rsidRPr="00227C94">
              <w:t>10,935</w:t>
            </w:r>
          </w:p>
        </w:tc>
      </w:tr>
      <w:tr w:rsidR="00916675" w:rsidRPr="00227C94" w:rsidTr="00AF493A">
        <w:trPr>
          <w:cantSplit/>
        </w:trPr>
        <w:tc>
          <w:tcPr>
            <w:tcW w:w="3325" w:type="dxa"/>
            <w:shd w:val="clear" w:color="auto" w:fill="auto"/>
          </w:tcPr>
          <w:p w:rsidR="00916675" w:rsidRPr="00227C94" w:rsidRDefault="00916675" w:rsidP="00AF493A">
            <w:pPr>
              <w:pStyle w:val="tblText02"/>
              <w:ind w:left="397"/>
            </w:pPr>
            <w:r w:rsidRPr="00227C94">
              <w:t>Impairment of stockpiles</w:t>
            </w:r>
          </w:p>
        </w:tc>
        <w:tc>
          <w:tcPr>
            <w:tcW w:w="793" w:type="dxa"/>
            <w:shd w:val="clear" w:color="auto" w:fill="auto"/>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Dash"/>
            </w:pPr>
            <w:r w:rsidRPr="00227C94">
              <w:t>-</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25,881</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1"/>
            </w:pPr>
            <w:r w:rsidRPr="00227C94">
              <w:t>25,209</w:t>
            </w:r>
          </w:p>
        </w:tc>
      </w:tr>
      <w:tr w:rsidR="00916675" w:rsidRPr="00227C94" w:rsidTr="00AF493A">
        <w:trPr>
          <w:cantSplit/>
        </w:trPr>
        <w:tc>
          <w:tcPr>
            <w:tcW w:w="3325" w:type="dxa"/>
            <w:shd w:val="clear" w:color="auto" w:fill="auto"/>
          </w:tcPr>
          <w:p w:rsidR="00916675" w:rsidRPr="00227C94" w:rsidRDefault="00916675" w:rsidP="00AF493A">
            <w:pPr>
              <w:pStyle w:val="tblText02"/>
              <w:ind w:left="397"/>
              <w:rPr>
                <w:lang w:val="en-US"/>
              </w:rPr>
            </w:pPr>
            <w:r w:rsidRPr="00227C94">
              <w:rPr>
                <w:lang w:val="en-US"/>
              </w:rPr>
              <w:t>Impairment of exploration and evaluation assets</w:t>
            </w:r>
          </w:p>
        </w:tc>
        <w:tc>
          <w:tcPr>
            <w:tcW w:w="793" w:type="dxa"/>
            <w:shd w:val="clear" w:color="auto" w:fill="auto"/>
            <w:vAlign w:val="bottom"/>
          </w:tcPr>
          <w:p w:rsidR="00916675" w:rsidRPr="00227C94" w:rsidRDefault="00916675" w:rsidP="00AF493A">
            <w:pPr>
              <w:pStyle w:val="tblNumber01"/>
              <w:jc w:val="center"/>
            </w:pPr>
            <w:r w:rsidRPr="00227C94">
              <w:t>11</w:t>
            </w:r>
          </w:p>
        </w:tc>
        <w:tc>
          <w:tcPr>
            <w:tcW w:w="1417" w:type="dxa"/>
            <w:shd w:val="clear" w:color="auto" w:fill="auto"/>
            <w:vAlign w:val="bottom"/>
          </w:tcPr>
          <w:p w:rsidR="00916675" w:rsidRPr="00227C94" w:rsidRDefault="00916675" w:rsidP="00AF493A">
            <w:pPr>
              <w:pStyle w:val="tblNumber01"/>
            </w:pPr>
            <w:r w:rsidRPr="00227C94">
              <w:t>243</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15,100</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1"/>
            </w:pPr>
            <w:r w:rsidRPr="00227C94">
              <w:t>54,708</w:t>
            </w:r>
          </w:p>
        </w:tc>
      </w:tr>
      <w:tr w:rsidR="00916675" w:rsidRPr="00227C94" w:rsidTr="00AF493A">
        <w:trPr>
          <w:cantSplit/>
        </w:trPr>
        <w:tc>
          <w:tcPr>
            <w:tcW w:w="3325" w:type="dxa"/>
            <w:shd w:val="clear" w:color="auto" w:fill="auto"/>
          </w:tcPr>
          <w:p w:rsidR="00916675" w:rsidRPr="00227C94" w:rsidRDefault="00916675" w:rsidP="00AF493A">
            <w:pPr>
              <w:pStyle w:val="tblText02"/>
              <w:ind w:left="397"/>
              <w:rPr>
                <w:lang w:val="en-US"/>
              </w:rPr>
            </w:pPr>
            <w:r w:rsidRPr="00227C94">
              <w:rPr>
                <w:lang w:val="en-US"/>
              </w:rPr>
              <w:t>Impairment of property, plant and equipment</w:t>
            </w:r>
          </w:p>
        </w:tc>
        <w:tc>
          <w:tcPr>
            <w:tcW w:w="793" w:type="dxa"/>
            <w:shd w:val="clear" w:color="auto" w:fill="auto"/>
            <w:vAlign w:val="bottom"/>
          </w:tcPr>
          <w:p w:rsidR="00916675" w:rsidRPr="00227C94" w:rsidRDefault="00916675" w:rsidP="00AF493A">
            <w:pPr>
              <w:pStyle w:val="tblNumber01"/>
              <w:jc w:val="center"/>
            </w:pPr>
            <w:r w:rsidRPr="00227C94">
              <w:t>10</w:t>
            </w:r>
          </w:p>
        </w:tc>
        <w:tc>
          <w:tcPr>
            <w:tcW w:w="1417" w:type="dxa"/>
            <w:shd w:val="clear" w:color="auto" w:fill="auto"/>
            <w:vAlign w:val="bottom"/>
          </w:tcPr>
          <w:p w:rsidR="00916675" w:rsidRPr="00227C94" w:rsidRDefault="00916675" w:rsidP="00AF493A">
            <w:pPr>
              <w:pStyle w:val="tblNumber01"/>
            </w:pPr>
            <w:r w:rsidRPr="00227C94">
              <w:t>17,316</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7,644</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1"/>
            </w:pPr>
            <w:r w:rsidRPr="00227C94">
              <w:t>23,501</w:t>
            </w:r>
          </w:p>
        </w:tc>
      </w:tr>
      <w:tr w:rsidR="00916675" w:rsidRPr="00227C94" w:rsidTr="00AF493A">
        <w:trPr>
          <w:cantSplit/>
        </w:trPr>
        <w:tc>
          <w:tcPr>
            <w:tcW w:w="3325" w:type="dxa"/>
            <w:shd w:val="clear" w:color="auto" w:fill="auto"/>
          </w:tcPr>
          <w:p w:rsidR="00916675" w:rsidRPr="00227C94" w:rsidRDefault="00916675" w:rsidP="00AF493A">
            <w:pPr>
              <w:pStyle w:val="tblText02"/>
              <w:ind w:left="397"/>
              <w:rPr>
                <w:lang w:val="en-US"/>
              </w:rPr>
            </w:pPr>
            <w:r w:rsidRPr="00227C94">
              <w:rPr>
                <w:lang w:val="en-US"/>
              </w:rPr>
              <w:t>Loss on disposal of property, plant and equipment</w:t>
            </w:r>
          </w:p>
        </w:tc>
        <w:tc>
          <w:tcPr>
            <w:tcW w:w="793" w:type="dxa"/>
            <w:shd w:val="clear" w:color="auto" w:fill="auto"/>
            <w:vAlign w:val="bottom"/>
          </w:tcPr>
          <w:p w:rsidR="00916675" w:rsidRPr="00227C94" w:rsidRDefault="00916675" w:rsidP="00AF493A">
            <w:pPr>
              <w:pStyle w:val="tblNumber01"/>
              <w:rPr>
                <w:lang w:val="en-US"/>
              </w:rPr>
            </w:pPr>
          </w:p>
        </w:tc>
        <w:tc>
          <w:tcPr>
            <w:tcW w:w="1417" w:type="dxa"/>
            <w:shd w:val="clear" w:color="auto" w:fill="auto"/>
            <w:vAlign w:val="bottom"/>
          </w:tcPr>
          <w:p w:rsidR="00916675" w:rsidRPr="00227C94" w:rsidRDefault="00916675" w:rsidP="00AF493A">
            <w:pPr>
              <w:pStyle w:val="tblNumber01"/>
            </w:pPr>
            <w:r w:rsidRPr="00227C94">
              <w:t>1,412</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2,624</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1"/>
            </w:pPr>
            <w:r w:rsidRPr="00227C94">
              <w:t>5,933</w:t>
            </w:r>
          </w:p>
        </w:tc>
      </w:tr>
      <w:tr w:rsidR="00916675" w:rsidRPr="00227C94" w:rsidTr="00AF493A">
        <w:trPr>
          <w:cantSplit/>
        </w:trPr>
        <w:tc>
          <w:tcPr>
            <w:tcW w:w="3325" w:type="dxa"/>
            <w:shd w:val="clear" w:color="auto" w:fill="auto"/>
          </w:tcPr>
          <w:p w:rsidR="00916675" w:rsidRPr="00227C94" w:rsidRDefault="00916675" w:rsidP="00AF493A">
            <w:pPr>
              <w:pStyle w:val="tblText02"/>
              <w:ind w:left="397"/>
              <w:rPr>
                <w:lang w:val="en-US"/>
              </w:rPr>
            </w:pPr>
            <w:r w:rsidRPr="00227C94">
              <w:rPr>
                <w:lang w:val="en-US"/>
              </w:rPr>
              <w:t>Change in allowance for reimbursable value added and tax provision</w:t>
            </w:r>
          </w:p>
        </w:tc>
        <w:tc>
          <w:tcPr>
            <w:tcW w:w="793" w:type="dxa"/>
            <w:shd w:val="clear" w:color="auto" w:fill="auto"/>
            <w:vAlign w:val="bottom"/>
          </w:tcPr>
          <w:p w:rsidR="00916675" w:rsidRPr="00227C94" w:rsidRDefault="00916675" w:rsidP="00AF493A">
            <w:pPr>
              <w:pStyle w:val="tblNumber01"/>
              <w:rPr>
                <w:lang w:val="en-US"/>
              </w:rPr>
            </w:pPr>
          </w:p>
        </w:tc>
        <w:tc>
          <w:tcPr>
            <w:tcW w:w="1417" w:type="dxa"/>
            <w:shd w:val="clear" w:color="auto" w:fill="auto"/>
            <w:vAlign w:val="bottom"/>
          </w:tcPr>
          <w:p w:rsidR="00916675" w:rsidRPr="00227C94" w:rsidRDefault="00916675" w:rsidP="00AF493A">
            <w:pPr>
              <w:pStyle w:val="tblNumber00"/>
            </w:pPr>
            <w:r w:rsidRPr="00227C94">
              <w:t>(91)</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0"/>
            </w:pPr>
            <w:r w:rsidRPr="00227C94">
              <w:t>(288)</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1"/>
            </w:pPr>
            <w:r w:rsidRPr="00227C94">
              <w:t>6,602</w:t>
            </w:r>
          </w:p>
        </w:tc>
      </w:tr>
      <w:tr w:rsidR="00916675" w:rsidRPr="00227C94" w:rsidTr="00AF493A">
        <w:trPr>
          <w:cantSplit/>
        </w:trPr>
        <w:tc>
          <w:tcPr>
            <w:tcW w:w="3325" w:type="dxa"/>
            <w:shd w:val="clear" w:color="auto" w:fill="auto"/>
          </w:tcPr>
          <w:p w:rsidR="00916675" w:rsidRPr="00227C94" w:rsidRDefault="00916675" w:rsidP="00AF493A">
            <w:pPr>
              <w:pStyle w:val="tblText02"/>
              <w:ind w:left="397"/>
              <w:rPr>
                <w:lang w:val="en-US"/>
              </w:rPr>
            </w:pPr>
            <w:r w:rsidRPr="00227C94">
              <w:rPr>
                <w:lang w:val="en-US"/>
              </w:rPr>
              <w:t>Gain from disposal of subsidiaries</w:t>
            </w:r>
          </w:p>
        </w:tc>
        <w:tc>
          <w:tcPr>
            <w:tcW w:w="793" w:type="dxa"/>
            <w:shd w:val="clear" w:color="auto" w:fill="auto"/>
            <w:vAlign w:val="bottom"/>
          </w:tcPr>
          <w:p w:rsidR="00916675" w:rsidRPr="00227C94" w:rsidRDefault="00916675" w:rsidP="00AF493A">
            <w:pPr>
              <w:pStyle w:val="tblNumber01"/>
              <w:jc w:val="center"/>
            </w:pPr>
            <w:r w:rsidRPr="00227C94">
              <w:t>3</w:t>
            </w:r>
          </w:p>
        </w:tc>
        <w:tc>
          <w:tcPr>
            <w:tcW w:w="1417" w:type="dxa"/>
            <w:shd w:val="clear" w:color="auto" w:fill="auto"/>
            <w:vAlign w:val="bottom"/>
          </w:tcPr>
          <w:p w:rsidR="00916675" w:rsidRPr="00227C94" w:rsidRDefault="00916675" w:rsidP="00AF493A">
            <w:pPr>
              <w:pStyle w:val="tblNumber00"/>
            </w:pPr>
            <w:r w:rsidRPr="00227C94">
              <w:t>(6,268)</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Dash"/>
            </w:pPr>
            <w:r w:rsidRPr="00227C94">
              <w:t>-</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Dash"/>
            </w:pPr>
            <w:r w:rsidRPr="00227C94">
              <w:t>-</w:t>
            </w:r>
          </w:p>
        </w:tc>
      </w:tr>
      <w:tr w:rsidR="00916675" w:rsidRPr="00227C94" w:rsidTr="00AF493A">
        <w:trPr>
          <w:cantSplit/>
        </w:trPr>
        <w:tc>
          <w:tcPr>
            <w:tcW w:w="3325" w:type="dxa"/>
            <w:shd w:val="clear" w:color="auto" w:fill="auto"/>
          </w:tcPr>
          <w:p w:rsidR="00916675" w:rsidRPr="00227C94" w:rsidRDefault="00916675" w:rsidP="00AF493A">
            <w:pPr>
              <w:pStyle w:val="tblText02"/>
              <w:ind w:left="397"/>
            </w:pPr>
            <w:r w:rsidRPr="00227C94">
              <w:t>Income from investments</w:t>
            </w:r>
          </w:p>
        </w:tc>
        <w:tc>
          <w:tcPr>
            <w:tcW w:w="793" w:type="dxa"/>
            <w:shd w:val="clear" w:color="auto" w:fill="auto"/>
            <w:vAlign w:val="bottom"/>
          </w:tcPr>
          <w:p w:rsidR="00916675" w:rsidRPr="00227C94" w:rsidRDefault="00916675" w:rsidP="00AF493A">
            <w:pPr>
              <w:pStyle w:val="tblNumber01"/>
              <w:jc w:val="center"/>
            </w:pPr>
            <w:r w:rsidRPr="00227C94">
              <w:t>9</w:t>
            </w:r>
          </w:p>
        </w:tc>
        <w:tc>
          <w:tcPr>
            <w:tcW w:w="1417" w:type="dxa"/>
            <w:shd w:val="clear" w:color="auto" w:fill="auto"/>
            <w:vAlign w:val="bottom"/>
          </w:tcPr>
          <w:p w:rsidR="00916675" w:rsidRPr="00227C94" w:rsidRDefault="00916675" w:rsidP="00AF493A">
            <w:pPr>
              <w:pStyle w:val="tblNumber00"/>
            </w:pPr>
            <w:r w:rsidRPr="00227C94">
              <w:t>(19,540)</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0"/>
            </w:pPr>
            <w:r w:rsidRPr="00227C94">
              <w:t>(8,232)</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0"/>
            </w:pPr>
            <w:r w:rsidRPr="00227C94">
              <w:t>(3,630)</w:t>
            </w:r>
          </w:p>
        </w:tc>
      </w:tr>
      <w:tr w:rsidR="00916675" w:rsidRPr="00227C94" w:rsidTr="00AF493A">
        <w:trPr>
          <w:cantSplit/>
        </w:trPr>
        <w:tc>
          <w:tcPr>
            <w:tcW w:w="3325" w:type="dxa"/>
            <w:shd w:val="clear" w:color="auto" w:fill="auto"/>
          </w:tcPr>
          <w:p w:rsidR="00916675" w:rsidRPr="00227C94" w:rsidRDefault="00916675" w:rsidP="00AF493A">
            <w:pPr>
              <w:pStyle w:val="tblText02"/>
              <w:ind w:left="397"/>
              <w:rPr>
                <w:lang w:val="en-US"/>
              </w:rPr>
            </w:pPr>
            <w:r w:rsidRPr="00227C94">
              <w:rPr>
                <w:lang w:val="en-US"/>
              </w:rPr>
              <w:t>Change in allowance for doubtful debts</w:t>
            </w:r>
          </w:p>
        </w:tc>
        <w:tc>
          <w:tcPr>
            <w:tcW w:w="793" w:type="dxa"/>
            <w:shd w:val="clear" w:color="auto" w:fill="auto"/>
            <w:vAlign w:val="bottom"/>
          </w:tcPr>
          <w:p w:rsidR="00916675" w:rsidRPr="00227C94" w:rsidRDefault="00916675" w:rsidP="00AF493A">
            <w:pPr>
              <w:pStyle w:val="tblNumber01"/>
              <w:rPr>
                <w:lang w:val="en-US"/>
              </w:rPr>
            </w:pPr>
          </w:p>
        </w:tc>
        <w:tc>
          <w:tcPr>
            <w:tcW w:w="1417" w:type="dxa"/>
            <w:shd w:val="clear" w:color="auto" w:fill="auto"/>
            <w:vAlign w:val="bottom"/>
          </w:tcPr>
          <w:p w:rsidR="00916675" w:rsidRPr="00227C94" w:rsidRDefault="00916675" w:rsidP="00AF493A">
            <w:pPr>
              <w:pStyle w:val="tblNumber01"/>
            </w:pPr>
            <w:r w:rsidRPr="00227C94">
              <w:t>42</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805</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0"/>
            </w:pPr>
            <w:r w:rsidRPr="00227C94">
              <w:t>(546)</w:t>
            </w:r>
          </w:p>
        </w:tc>
      </w:tr>
      <w:tr w:rsidR="00916675" w:rsidRPr="00227C94" w:rsidTr="00A701F4">
        <w:trPr>
          <w:cantSplit/>
        </w:trPr>
        <w:tc>
          <w:tcPr>
            <w:tcW w:w="3325" w:type="dxa"/>
            <w:shd w:val="clear" w:color="auto" w:fill="auto"/>
          </w:tcPr>
          <w:p w:rsidR="00916675" w:rsidRPr="00227C94" w:rsidRDefault="00916675" w:rsidP="00AF493A">
            <w:pPr>
              <w:pStyle w:val="tblText02"/>
              <w:ind w:left="397"/>
              <w:rPr>
                <w:lang w:val="en-US"/>
              </w:rPr>
            </w:pPr>
            <w:r w:rsidRPr="00227C94">
              <w:rPr>
                <w:lang w:val="en-US"/>
              </w:rPr>
              <w:t>Foreign exchange (gain) loss, net</w:t>
            </w:r>
          </w:p>
        </w:tc>
        <w:tc>
          <w:tcPr>
            <w:tcW w:w="793" w:type="dxa"/>
            <w:shd w:val="clear" w:color="auto" w:fill="auto"/>
            <w:vAlign w:val="bottom"/>
          </w:tcPr>
          <w:p w:rsidR="00916675" w:rsidRPr="00227C94" w:rsidRDefault="00916675" w:rsidP="00AF493A">
            <w:pPr>
              <w:pStyle w:val="tblNumber01"/>
              <w:rPr>
                <w:lang w:val="en-US"/>
              </w:rPr>
            </w:pPr>
          </w:p>
        </w:tc>
        <w:tc>
          <w:tcPr>
            <w:tcW w:w="1417" w:type="dxa"/>
            <w:shd w:val="clear" w:color="auto" w:fill="auto"/>
            <w:vAlign w:val="bottom"/>
          </w:tcPr>
          <w:p w:rsidR="00916675" w:rsidRPr="00227C94" w:rsidRDefault="00916675" w:rsidP="00AF493A">
            <w:pPr>
              <w:pStyle w:val="tblNumber00"/>
            </w:pPr>
            <w:r w:rsidRPr="00227C94">
              <w:t>(7,578)</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0"/>
            </w:pPr>
            <w:r w:rsidRPr="00227C94">
              <w:t>(2,049)</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1"/>
            </w:pPr>
            <w:r w:rsidRPr="00227C94">
              <w:t>5,814</w:t>
            </w:r>
          </w:p>
        </w:tc>
      </w:tr>
      <w:tr w:rsidR="00916675" w:rsidRPr="00227C94" w:rsidTr="00A701F4">
        <w:trPr>
          <w:cantSplit/>
        </w:trPr>
        <w:tc>
          <w:tcPr>
            <w:tcW w:w="3325" w:type="dxa"/>
            <w:shd w:val="clear" w:color="auto" w:fill="auto"/>
          </w:tcPr>
          <w:p w:rsidR="00916675" w:rsidRPr="00227C94" w:rsidRDefault="00916675" w:rsidP="00AF493A">
            <w:pPr>
              <w:pStyle w:val="tblText02"/>
              <w:ind w:left="397"/>
            </w:pPr>
            <w:r w:rsidRPr="00227C94">
              <w:t>Other</w:t>
            </w:r>
          </w:p>
        </w:tc>
        <w:tc>
          <w:tcPr>
            <w:tcW w:w="793" w:type="dxa"/>
            <w:shd w:val="clear" w:color="auto" w:fill="auto"/>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00"/>
            </w:pPr>
            <w:r w:rsidRPr="00227C94">
              <w:t>(6,731)</w:t>
            </w:r>
          </w:p>
        </w:tc>
        <w:tc>
          <w:tcPr>
            <w:tcW w:w="283" w:type="dxa"/>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01"/>
            </w:pPr>
            <w:r w:rsidRPr="00227C94">
              <w:t>3,612</w:t>
            </w:r>
          </w:p>
        </w:tc>
        <w:tc>
          <w:tcPr>
            <w:tcW w:w="283" w:type="dxa"/>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01"/>
            </w:pPr>
            <w:r w:rsidRPr="00227C94">
              <w:t>3,971</w:t>
            </w:r>
          </w:p>
        </w:tc>
      </w:tr>
      <w:tr w:rsidR="00916675" w:rsidRPr="00227C94" w:rsidTr="00A701F4">
        <w:trPr>
          <w:cantSplit/>
        </w:trPr>
        <w:tc>
          <w:tcPr>
            <w:tcW w:w="3325" w:type="dxa"/>
            <w:shd w:val="clear" w:color="auto" w:fill="auto"/>
          </w:tcPr>
          <w:p w:rsidR="00916675" w:rsidRPr="00227C94" w:rsidRDefault="00916675" w:rsidP="00AF493A">
            <w:pPr>
              <w:pStyle w:val="tblText02"/>
            </w:pPr>
          </w:p>
        </w:tc>
        <w:tc>
          <w:tcPr>
            <w:tcW w:w="793" w:type="dxa"/>
            <w:shd w:val="clear" w:color="auto" w:fill="auto"/>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r>
      <w:tr w:rsidR="00916675" w:rsidRPr="00227C94" w:rsidTr="00A701F4">
        <w:trPr>
          <w:cantSplit/>
        </w:trPr>
        <w:tc>
          <w:tcPr>
            <w:tcW w:w="3325" w:type="dxa"/>
            <w:shd w:val="clear" w:color="auto" w:fill="auto"/>
          </w:tcPr>
          <w:p w:rsidR="00916675" w:rsidRPr="00227C94" w:rsidRDefault="00916675" w:rsidP="00AF493A">
            <w:pPr>
              <w:pStyle w:val="tblText02"/>
            </w:pPr>
          </w:p>
        </w:tc>
        <w:tc>
          <w:tcPr>
            <w:tcW w:w="793" w:type="dxa"/>
            <w:shd w:val="clear" w:color="auto" w:fill="auto"/>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01"/>
              <w:rPr>
                <w:b/>
              </w:rPr>
            </w:pPr>
            <w:r w:rsidRPr="00227C94">
              <w:rPr>
                <w:b/>
              </w:rPr>
              <w:t>633,659</w:t>
            </w:r>
          </w:p>
        </w:tc>
        <w:tc>
          <w:tcPr>
            <w:tcW w:w="283" w:type="dxa"/>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01"/>
              <w:rPr>
                <w:b/>
              </w:rPr>
            </w:pPr>
            <w:r w:rsidRPr="00227C94">
              <w:rPr>
                <w:b/>
              </w:rPr>
              <w:t>455,724</w:t>
            </w:r>
          </w:p>
        </w:tc>
        <w:tc>
          <w:tcPr>
            <w:tcW w:w="283" w:type="dxa"/>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01"/>
              <w:rPr>
                <w:b/>
              </w:rPr>
            </w:pPr>
            <w:r w:rsidRPr="00227C94">
              <w:rPr>
                <w:b/>
              </w:rPr>
              <w:t>1,156,916</w:t>
            </w:r>
          </w:p>
        </w:tc>
      </w:tr>
      <w:tr w:rsidR="00AF493A" w:rsidRPr="00227C94" w:rsidTr="00A701F4">
        <w:trPr>
          <w:cantSplit/>
        </w:trPr>
        <w:tc>
          <w:tcPr>
            <w:tcW w:w="3325" w:type="dxa"/>
            <w:shd w:val="clear" w:color="auto" w:fill="auto"/>
          </w:tcPr>
          <w:p w:rsidR="00AF493A" w:rsidRPr="00227C94" w:rsidRDefault="00AF493A" w:rsidP="00AF493A">
            <w:pPr>
              <w:pStyle w:val="tblText02"/>
            </w:pPr>
          </w:p>
        </w:tc>
        <w:tc>
          <w:tcPr>
            <w:tcW w:w="793" w:type="dxa"/>
            <w:shd w:val="clear" w:color="auto" w:fill="auto"/>
            <w:vAlign w:val="bottom"/>
          </w:tcPr>
          <w:p w:rsidR="00AF493A" w:rsidRPr="00227C94" w:rsidRDefault="00AF493A" w:rsidP="00AF493A">
            <w:pPr>
              <w:pStyle w:val="tblNumber01"/>
            </w:pPr>
          </w:p>
        </w:tc>
        <w:tc>
          <w:tcPr>
            <w:tcW w:w="1417" w:type="dxa"/>
            <w:tcBorders>
              <w:top w:val="single" w:sz="6" w:space="0" w:color="auto"/>
            </w:tcBorders>
            <w:shd w:val="clear" w:color="auto" w:fill="auto"/>
            <w:vAlign w:val="bottom"/>
          </w:tcPr>
          <w:p w:rsidR="00AF493A" w:rsidRPr="00227C94" w:rsidRDefault="00AF493A" w:rsidP="00AF493A">
            <w:pPr>
              <w:pStyle w:val="tblNumber01"/>
              <w:rPr>
                <w:b/>
              </w:rPr>
            </w:pPr>
          </w:p>
        </w:tc>
        <w:tc>
          <w:tcPr>
            <w:tcW w:w="283" w:type="dxa"/>
            <w:vAlign w:val="bottom"/>
          </w:tcPr>
          <w:p w:rsidR="00AF493A" w:rsidRPr="00227C94" w:rsidRDefault="00AF493A" w:rsidP="00AF493A">
            <w:pPr>
              <w:pStyle w:val="tblNumber01"/>
            </w:pPr>
          </w:p>
        </w:tc>
        <w:tc>
          <w:tcPr>
            <w:tcW w:w="1417" w:type="dxa"/>
            <w:tcBorders>
              <w:top w:val="single" w:sz="6" w:space="0" w:color="auto"/>
            </w:tcBorders>
            <w:shd w:val="clear" w:color="auto" w:fill="auto"/>
            <w:vAlign w:val="bottom"/>
          </w:tcPr>
          <w:p w:rsidR="00AF493A" w:rsidRPr="00227C94" w:rsidRDefault="00AF493A" w:rsidP="00AF493A">
            <w:pPr>
              <w:pStyle w:val="tblNumber01"/>
              <w:rPr>
                <w:b/>
              </w:rPr>
            </w:pPr>
          </w:p>
        </w:tc>
        <w:tc>
          <w:tcPr>
            <w:tcW w:w="283" w:type="dxa"/>
            <w:vAlign w:val="bottom"/>
          </w:tcPr>
          <w:p w:rsidR="00AF493A" w:rsidRPr="00227C94" w:rsidRDefault="00AF493A" w:rsidP="00AF493A">
            <w:pPr>
              <w:pStyle w:val="tblNumber01"/>
            </w:pPr>
          </w:p>
        </w:tc>
        <w:tc>
          <w:tcPr>
            <w:tcW w:w="1417" w:type="dxa"/>
            <w:tcBorders>
              <w:top w:val="single" w:sz="6" w:space="0" w:color="auto"/>
            </w:tcBorders>
            <w:shd w:val="clear" w:color="auto" w:fill="auto"/>
            <w:vAlign w:val="bottom"/>
          </w:tcPr>
          <w:p w:rsidR="00AF493A" w:rsidRPr="00227C94" w:rsidRDefault="00AF493A" w:rsidP="00AF493A">
            <w:pPr>
              <w:pStyle w:val="tblNumber01"/>
              <w:rPr>
                <w:b/>
              </w:rPr>
            </w:pPr>
          </w:p>
        </w:tc>
      </w:tr>
      <w:tr w:rsidR="00916675" w:rsidRPr="00227C94" w:rsidTr="00AF493A">
        <w:trPr>
          <w:cantSplit/>
        </w:trPr>
        <w:tc>
          <w:tcPr>
            <w:tcW w:w="3325" w:type="dxa"/>
            <w:shd w:val="clear" w:color="auto" w:fill="auto"/>
          </w:tcPr>
          <w:p w:rsidR="00916675" w:rsidRPr="00227C94" w:rsidRDefault="00916675" w:rsidP="00AF493A">
            <w:pPr>
              <w:pStyle w:val="tblText02"/>
            </w:pPr>
            <w:r w:rsidRPr="00227C94">
              <w:t>Movements in working capital</w:t>
            </w:r>
          </w:p>
        </w:tc>
        <w:tc>
          <w:tcPr>
            <w:tcW w:w="793" w:type="dxa"/>
            <w:shd w:val="clear" w:color="auto" w:fill="auto"/>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1"/>
            </w:pPr>
          </w:p>
        </w:tc>
      </w:tr>
      <w:tr w:rsidR="00916675" w:rsidRPr="00227C94" w:rsidTr="00AF493A">
        <w:trPr>
          <w:cantSplit/>
        </w:trPr>
        <w:tc>
          <w:tcPr>
            <w:tcW w:w="3325" w:type="dxa"/>
            <w:shd w:val="clear" w:color="auto" w:fill="auto"/>
          </w:tcPr>
          <w:p w:rsidR="00916675" w:rsidRPr="00227C94" w:rsidRDefault="00916675" w:rsidP="00AF493A">
            <w:pPr>
              <w:pStyle w:val="tblText02"/>
              <w:ind w:left="397"/>
            </w:pPr>
            <w:r w:rsidRPr="00227C94">
              <w:t>Inventories</w:t>
            </w:r>
          </w:p>
        </w:tc>
        <w:tc>
          <w:tcPr>
            <w:tcW w:w="793" w:type="dxa"/>
            <w:shd w:val="clear" w:color="auto" w:fill="auto"/>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0"/>
            </w:pPr>
            <w:r w:rsidRPr="00227C94">
              <w:t>(91,389)</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0"/>
            </w:pPr>
            <w:r w:rsidRPr="00227C94">
              <w:t>(103,325)</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0"/>
            </w:pPr>
            <w:r w:rsidRPr="00227C94">
              <w:t>(168,688)</w:t>
            </w:r>
          </w:p>
        </w:tc>
      </w:tr>
      <w:tr w:rsidR="00916675" w:rsidRPr="00227C94" w:rsidTr="00AF493A">
        <w:trPr>
          <w:cantSplit/>
        </w:trPr>
        <w:tc>
          <w:tcPr>
            <w:tcW w:w="3325" w:type="dxa"/>
            <w:shd w:val="clear" w:color="auto" w:fill="auto"/>
          </w:tcPr>
          <w:p w:rsidR="00916675" w:rsidRPr="00227C94" w:rsidRDefault="00916675" w:rsidP="00AF493A">
            <w:pPr>
              <w:pStyle w:val="tblText02"/>
              <w:ind w:left="397"/>
            </w:pPr>
            <w:r w:rsidRPr="00227C94">
              <w:t>Trade and other receivables</w:t>
            </w:r>
          </w:p>
        </w:tc>
        <w:tc>
          <w:tcPr>
            <w:tcW w:w="793" w:type="dxa"/>
            <w:shd w:val="clear" w:color="auto" w:fill="auto"/>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0"/>
            </w:pPr>
            <w:r w:rsidRPr="00227C94">
              <w:t>(8,174)</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0"/>
            </w:pPr>
            <w:r w:rsidRPr="00227C94">
              <w:t>(7,047)</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0"/>
            </w:pPr>
            <w:r w:rsidRPr="00227C94">
              <w:t>(5,811)</w:t>
            </w:r>
          </w:p>
        </w:tc>
      </w:tr>
      <w:tr w:rsidR="00916675" w:rsidRPr="00227C94" w:rsidTr="00AF493A">
        <w:trPr>
          <w:cantSplit/>
        </w:trPr>
        <w:tc>
          <w:tcPr>
            <w:tcW w:w="3325" w:type="dxa"/>
            <w:shd w:val="clear" w:color="auto" w:fill="auto"/>
          </w:tcPr>
          <w:p w:rsidR="00916675" w:rsidRPr="00227C94" w:rsidRDefault="00916675" w:rsidP="00AF493A">
            <w:pPr>
              <w:pStyle w:val="tblText02"/>
              <w:ind w:left="397"/>
              <w:rPr>
                <w:lang w:val="en-US"/>
              </w:rPr>
            </w:pPr>
            <w:r w:rsidRPr="00227C94">
              <w:rPr>
                <w:lang w:val="en-US"/>
              </w:rPr>
              <w:t>Advances paid to suppliers and prepaid expenses</w:t>
            </w:r>
          </w:p>
        </w:tc>
        <w:tc>
          <w:tcPr>
            <w:tcW w:w="793" w:type="dxa"/>
            <w:shd w:val="clear" w:color="auto" w:fill="auto"/>
            <w:vAlign w:val="bottom"/>
          </w:tcPr>
          <w:p w:rsidR="00916675" w:rsidRPr="00227C94" w:rsidRDefault="00916675" w:rsidP="00AF493A">
            <w:pPr>
              <w:pStyle w:val="tblNumber01"/>
              <w:rPr>
                <w:lang w:val="en-US"/>
              </w:rPr>
            </w:pPr>
          </w:p>
        </w:tc>
        <w:tc>
          <w:tcPr>
            <w:tcW w:w="1417" w:type="dxa"/>
            <w:shd w:val="clear" w:color="auto" w:fill="auto"/>
            <w:vAlign w:val="bottom"/>
          </w:tcPr>
          <w:p w:rsidR="00916675" w:rsidRPr="00227C94" w:rsidRDefault="00916675" w:rsidP="00AF493A">
            <w:pPr>
              <w:pStyle w:val="tblNumber00"/>
            </w:pPr>
            <w:r w:rsidRPr="00227C94">
              <w:t>(1,392)</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0"/>
            </w:pPr>
            <w:r w:rsidRPr="00227C94">
              <w:t>(857)</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0"/>
            </w:pPr>
            <w:r w:rsidRPr="00227C94">
              <w:t>(354)</w:t>
            </w:r>
          </w:p>
        </w:tc>
      </w:tr>
      <w:tr w:rsidR="00916675" w:rsidRPr="00227C94" w:rsidTr="00AF493A">
        <w:trPr>
          <w:cantSplit/>
        </w:trPr>
        <w:tc>
          <w:tcPr>
            <w:tcW w:w="3325" w:type="dxa"/>
            <w:shd w:val="clear" w:color="auto" w:fill="auto"/>
          </w:tcPr>
          <w:p w:rsidR="00916675" w:rsidRPr="00227C94" w:rsidRDefault="00916675" w:rsidP="00AF493A">
            <w:pPr>
              <w:pStyle w:val="tblText02"/>
              <w:ind w:left="397"/>
            </w:pPr>
            <w:r w:rsidRPr="00227C94">
              <w:t>Taxes receivable</w:t>
            </w:r>
          </w:p>
        </w:tc>
        <w:tc>
          <w:tcPr>
            <w:tcW w:w="793" w:type="dxa"/>
            <w:shd w:val="clear" w:color="auto" w:fill="auto"/>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4,781</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0"/>
            </w:pPr>
            <w:r w:rsidRPr="00227C94">
              <w:t>(11,090)</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1"/>
            </w:pPr>
            <w:r w:rsidRPr="00227C94">
              <w:t>8,029</w:t>
            </w:r>
          </w:p>
        </w:tc>
      </w:tr>
      <w:tr w:rsidR="00916675" w:rsidRPr="00227C94" w:rsidTr="00AF493A">
        <w:trPr>
          <w:cantSplit/>
        </w:trPr>
        <w:tc>
          <w:tcPr>
            <w:tcW w:w="3325" w:type="dxa"/>
            <w:shd w:val="clear" w:color="auto" w:fill="auto"/>
          </w:tcPr>
          <w:p w:rsidR="00916675" w:rsidRPr="00227C94" w:rsidRDefault="00916675" w:rsidP="00AF493A">
            <w:pPr>
              <w:pStyle w:val="tblText02"/>
              <w:ind w:left="397"/>
            </w:pPr>
            <w:r w:rsidRPr="00227C94">
              <w:t>Deferred expenditures</w:t>
            </w:r>
          </w:p>
        </w:tc>
        <w:tc>
          <w:tcPr>
            <w:tcW w:w="793" w:type="dxa"/>
            <w:shd w:val="clear" w:color="auto" w:fill="auto"/>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0"/>
            </w:pPr>
            <w:r w:rsidRPr="00227C94">
              <w:t>(39,173)</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26,459</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0"/>
            </w:pPr>
            <w:r w:rsidRPr="00227C94">
              <w:t>(230)</w:t>
            </w:r>
          </w:p>
        </w:tc>
      </w:tr>
      <w:tr w:rsidR="00916675" w:rsidRPr="00227C94" w:rsidTr="00AF493A">
        <w:trPr>
          <w:cantSplit/>
        </w:trPr>
        <w:tc>
          <w:tcPr>
            <w:tcW w:w="3325" w:type="dxa"/>
            <w:shd w:val="clear" w:color="auto" w:fill="auto"/>
            <w:vAlign w:val="bottom"/>
          </w:tcPr>
          <w:p w:rsidR="00916675" w:rsidRPr="00227C94" w:rsidRDefault="00916675" w:rsidP="00AF493A">
            <w:pPr>
              <w:pStyle w:val="tblText02"/>
              <w:ind w:left="397"/>
              <w:rPr>
                <w:lang w:val="en-US"/>
              </w:rPr>
            </w:pPr>
            <w:r w:rsidRPr="00227C94">
              <w:rPr>
                <w:lang w:val="en-US"/>
              </w:rPr>
              <w:t>Trade and other payables and accrued expenses</w:t>
            </w:r>
          </w:p>
        </w:tc>
        <w:tc>
          <w:tcPr>
            <w:tcW w:w="793" w:type="dxa"/>
            <w:shd w:val="clear" w:color="auto" w:fill="auto"/>
            <w:vAlign w:val="bottom"/>
          </w:tcPr>
          <w:p w:rsidR="00916675" w:rsidRPr="00227C94" w:rsidRDefault="00916675" w:rsidP="00AF493A">
            <w:pPr>
              <w:pStyle w:val="tblNumber01"/>
              <w:rPr>
                <w:lang w:val="en-US"/>
              </w:rPr>
            </w:pPr>
          </w:p>
        </w:tc>
        <w:tc>
          <w:tcPr>
            <w:tcW w:w="1417" w:type="dxa"/>
            <w:shd w:val="clear" w:color="auto" w:fill="auto"/>
            <w:vAlign w:val="bottom"/>
          </w:tcPr>
          <w:p w:rsidR="00916675" w:rsidRPr="00227C94" w:rsidRDefault="00916675" w:rsidP="00AF493A">
            <w:pPr>
              <w:pStyle w:val="tblNumber01"/>
            </w:pPr>
            <w:r w:rsidRPr="00227C94">
              <w:t>67,499</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1,720</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1"/>
            </w:pPr>
            <w:r w:rsidRPr="00227C94">
              <w:t>29,813</w:t>
            </w:r>
          </w:p>
        </w:tc>
      </w:tr>
      <w:tr w:rsidR="00916675" w:rsidRPr="00227C94" w:rsidTr="00A701F4">
        <w:trPr>
          <w:cantSplit/>
        </w:trPr>
        <w:tc>
          <w:tcPr>
            <w:tcW w:w="3325" w:type="dxa"/>
            <w:shd w:val="clear" w:color="auto" w:fill="auto"/>
          </w:tcPr>
          <w:p w:rsidR="00916675" w:rsidRPr="00227C94" w:rsidRDefault="00916675" w:rsidP="00AF493A">
            <w:pPr>
              <w:pStyle w:val="tblText02"/>
              <w:ind w:left="397"/>
            </w:pPr>
            <w:r w:rsidRPr="00227C94">
              <w:t>Other non-current liabilities</w:t>
            </w:r>
          </w:p>
        </w:tc>
        <w:tc>
          <w:tcPr>
            <w:tcW w:w="793" w:type="dxa"/>
            <w:shd w:val="clear" w:color="auto" w:fill="auto"/>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1,885</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1"/>
            </w:pPr>
            <w:r w:rsidRPr="00227C94">
              <w:t>4,322</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1"/>
            </w:pPr>
            <w:r w:rsidRPr="00227C94">
              <w:t>4,026</w:t>
            </w:r>
          </w:p>
        </w:tc>
      </w:tr>
      <w:tr w:rsidR="00916675" w:rsidRPr="00227C94" w:rsidTr="00A701F4">
        <w:trPr>
          <w:cantSplit/>
        </w:trPr>
        <w:tc>
          <w:tcPr>
            <w:tcW w:w="3325" w:type="dxa"/>
            <w:shd w:val="clear" w:color="auto" w:fill="auto"/>
          </w:tcPr>
          <w:p w:rsidR="00916675" w:rsidRPr="00227C94" w:rsidRDefault="00916675" w:rsidP="00AF493A">
            <w:pPr>
              <w:pStyle w:val="tblText02"/>
              <w:ind w:left="397"/>
            </w:pPr>
            <w:r w:rsidRPr="00227C94">
              <w:t>Other taxes payable</w:t>
            </w:r>
          </w:p>
        </w:tc>
        <w:tc>
          <w:tcPr>
            <w:tcW w:w="793" w:type="dxa"/>
            <w:shd w:val="clear" w:color="auto" w:fill="auto"/>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01"/>
            </w:pPr>
            <w:r w:rsidRPr="00227C94">
              <w:t>6,754</w:t>
            </w:r>
          </w:p>
        </w:tc>
        <w:tc>
          <w:tcPr>
            <w:tcW w:w="283" w:type="dxa"/>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01"/>
            </w:pPr>
            <w:r w:rsidRPr="00227C94">
              <w:t>215</w:t>
            </w:r>
          </w:p>
        </w:tc>
        <w:tc>
          <w:tcPr>
            <w:tcW w:w="283" w:type="dxa"/>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00"/>
            </w:pPr>
            <w:r w:rsidRPr="00227C94">
              <w:t>(4,130)</w:t>
            </w:r>
          </w:p>
        </w:tc>
      </w:tr>
      <w:tr w:rsidR="00916675" w:rsidRPr="00227C94" w:rsidTr="00A701F4">
        <w:trPr>
          <w:cantSplit/>
        </w:trPr>
        <w:tc>
          <w:tcPr>
            <w:tcW w:w="3325" w:type="dxa"/>
            <w:shd w:val="clear" w:color="auto" w:fill="auto"/>
          </w:tcPr>
          <w:p w:rsidR="00916675" w:rsidRPr="00227C94" w:rsidRDefault="00916675" w:rsidP="00AF493A">
            <w:pPr>
              <w:pStyle w:val="tblText02"/>
            </w:pPr>
          </w:p>
        </w:tc>
        <w:tc>
          <w:tcPr>
            <w:tcW w:w="793" w:type="dxa"/>
            <w:shd w:val="clear" w:color="auto" w:fill="auto"/>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r>
      <w:tr w:rsidR="00916675" w:rsidRPr="00227C94" w:rsidTr="00A701F4">
        <w:trPr>
          <w:cantSplit/>
        </w:trPr>
        <w:tc>
          <w:tcPr>
            <w:tcW w:w="3325" w:type="dxa"/>
            <w:shd w:val="clear" w:color="auto" w:fill="auto"/>
          </w:tcPr>
          <w:p w:rsidR="00916675" w:rsidRPr="00227C94" w:rsidRDefault="00916675" w:rsidP="00AF493A">
            <w:pPr>
              <w:pStyle w:val="tblText02"/>
              <w:rPr>
                <w:b/>
              </w:rPr>
            </w:pPr>
            <w:r w:rsidRPr="00227C94">
              <w:rPr>
                <w:b/>
              </w:rPr>
              <w:t>Cash flows from operations</w:t>
            </w:r>
          </w:p>
        </w:tc>
        <w:tc>
          <w:tcPr>
            <w:tcW w:w="793" w:type="dxa"/>
            <w:shd w:val="clear" w:color="auto" w:fill="auto"/>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01"/>
              <w:rPr>
                <w:b/>
              </w:rPr>
            </w:pPr>
            <w:r w:rsidRPr="00227C94">
              <w:rPr>
                <w:b/>
              </w:rPr>
              <w:t>574,450</w:t>
            </w:r>
          </w:p>
        </w:tc>
        <w:tc>
          <w:tcPr>
            <w:tcW w:w="283" w:type="dxa"/>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01"/>
              <w:rPr>
                <w:b/>
              </w:rPr>
            </w:pPr>
            <w:r w:rsidRPr="00227C94">
              <w:rPr>
                <w:b/>
              </w:rPr>
              <w:t>366,121</w:t>
            </w:r>
          </w:p>
        </w:tc>
        <w:tc>
          <w:tcPr>
            <w:tcW w:w="283" w:type="dxa"/>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01"/>
              <w:rPr>
                <w:b/>
              </w:rPr>
            </w:pPr>
            <w:r w:rsidRPr="00227C94">
              <w:rPr>
                <w:b/>
              </w:rPr>
              <w:t>1,019,571</w:t>
            </w:r>
          </w:p>
        </w:tc>
      </w:tr>
      <w:tr w:rsidR="00916675" w:rsidRPr="00227C94" w:rsidTr="00A701F4">
        <w:trPr>
          <w:cantSplit/>
        </w:trPr>
        <w:tc>
          <w:tcPr>
            <w:tcW w:w="3325" w:type="dxa"/>
            <w:shd w:val="clear" w:color="auto" w:fill="auto"/>
            <w:vAlign w:val="bottom"/>
          </w:tcPr>
          <w:p w:rsidR="00916675" w:rsidRPr="00227C94" w:rsidRDefault="00916675" w:rsidP="00AF493A">
            <w:pPr>
              <w:pStyle w:val="tblText02"/>
            </w:pPr>
          </w:p>
        </w:tc>
        <w:tc>
          <w:tcPr>
            <w:tcW w:w="793" w:type="dxa"/>
            <w:shd w:val="clear" w:color="auto" w:fill="auto"/>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r>
      <w:tr w:rsidR="00916675" w:rsidRPr="00227C94" w:rsidTr="00A701F4">
        <w:trPr>
          <w:cantSplit/>
        </w:trPr>
        <w:tc>
          <w:tcPr>
            <w:tcW w:w="3325" w:type="dxa"/>
            <w:shd w:val="clear" w:color="auto" w:fill="auto"/>
            <w:vAlign w:val="bottom"/>
          </w:tcPr>
          <w:p w:rsidR="00916675" w:rsidRPr="00227C94" w:rsidRDefault="00916675" w:rsidP="00AF493A">
            <w:pPr>
              <w:pStyle w:val="tblText02"/>
            </w:pPr>
            <w:r w:rsidRPr="00227C94">
              <w:t>Interest paid</w:t>
            </w:r>
          </w:p>
        </w:tc>
        <w:tc>
          <w:tcPr>
            <w:tcW w:w="793" w:type="dxa"/>
            <w:shd w:val="clear" w:color="auto" w:fill="auto"/>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0"/>
            </w:pPr>
            <w:r w:rsidRPr="00227C94">
              <w:t>(21,620)</w:t>
            </w:r>
          </w:p>
        </w:tc>
        <w:tc>
          <w:tcPr>
            <w:tcW w:w="283" w:type="dxa"/>
            <w:vAlign w:val="bottom"/>
          </w:tcPr>
          <w:p w:rsidR="00916675" w:rsidRPr="00227C94" w:rsidRDefault="00916675" w:rsidP="00AF493A">
            <w:pPr>
              <w:pStyle w:val="tblNumber01"/>
            </w:pPr>
          </w:p>
        </w:tc>
        <w:tc>
          <w:tcPr>
            <w:tcW w:w="1417" w:type="dxa"/>
            <w:shd w:val="clear" w:color="auto" w:fill="auto"/>
            <w:vAlign w:val="bottom"/>
          </w:tcPr>
          <w:p w:rsidR="00916675" w:rsidRPr="00227C94" w:rsidRDefault="00916675" w:rsidP="00AF493A">
            <w:pPr>
              <w:pStyle w:val="tblNumber00"/>
            </w:pPr>
            <w:r w:rsidRPr="00227C94">
              <w:t>(9,375)</w:t>
            </w:r>
          </w:p>
        </w:tc>
        <w:tc>
          <w:tcPr>
            <w:tcW w:w="283" w:type="dxa"/>
            <w:vAlign w:val="bottom"/>
          </w:tcPr>
          <w:p w:rsidR="00916675" w:rsidRPr="00227C94" w:rsidRDefault="00916675" w:rsidP="00AF493A">
            <w:pPr>
              <w:pStyle w:val="tblNumber01"/>
            </w:pPr>
          </w:p>
        </w:tc>
        <w:tc>
          <w:tcPr>
            <w:tcW w:w="1417" w:type="dxa"/>
            <w:vAlign w:val="bottom"/>
          </w:tcPr>
          <w:p w:rsidR="00916675" w:rsidRPr="00227C94" w:rsidRDefault="00916675" w:rsidP="00AF493A">
            <w:pPr>
              <w:pStyle w:val="tblNumber00"/>
            </w:pPr>
            <w:r w:rsidRPr="00227C94">
              <w:t>(23,423)</w:t>
            </w:r>
          </w:p>
        </w:tc>
      </w:tr>
      <w:tr w:rsidR="00916675" w:rsidRPr="00227C94" w:rsidTr="00A701F4">
        <w:trPr>
          <w:cantSplit/>
        </w:trPr>
        <w:tc>
          <w:tcPr>
            <w:tcW w:w="3325" w:type="dxa"/>
            <w:shd w:val="clear" w:color="auto" w:fill="auto"/>
            <w:vAlign w:val="bottom"/>
          </w:tcPr>
          <w:p w:rsidR="00916675" w:rsidRPr="00227C94" w:rsidRDefault="00916675" w:rsidP="00AF493A">
            <w:pPr>
              <w:pStyle w:val="tblText02"/>
            </w:pPr>
            <w:r w:rsidRPr="00227C94">
              <w:t>Income tax paid</w:t>
            </w:r>
          </w:p>
        </w:tc>
        <w:tc>
          <w:tcPr>
            <w:tcW w:w="793" w:type="dxa"/>
            <w:shd w:val="clear" w:color="auto" w:fill="auto"/>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00"/>
            </w:pPr>
            <w:r w:rsidRPr="00227C94">
              <w:t>(101,590)</w:t>
            </w:r>
          </w:p>
        </w:tc>
        <w:tc>
          <w:tcPr>
            <w:tcW w:w="283" w:type="dxa"/>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00"/>
            </w:pPr>
            <w:r w:rsidRPr="00227C94">
              <w:t>(65,872)</w:t>
            </w:r>
          </w:p>
        </w:tc>
        <w:tc>
          <w:tcPr>
            <w:tcW w:w="283" w:type="dxa"/>
            <w:vAlign w:val="bottom"/>
          </w:tcPr>
          <w:p w:rsidR="00916675" w:rsidRPr="00227C94" w:rsidRDefault="00916675" w:rsidP="00AF493A">
            <w:pPr>
              <w:pStyle w:val="tblNumber01"/>
            </w:pPr>
          </w:p>
        </w:tc>
        <w:tc>
          <w:tcPr>
            <w:tcW w:w="1417" w:type="dxa"/>
            <w:tcBorders>
              <w:bottom w:val="single" w:sz="6" w:space="0" w:color="auto"/>
            </w:tcBorders>
            <w:shd w:val="clear" w:color="auto" w:fill="auto"/>
            <w:vAlign w:val="bottom"/>
          </w:tcPr>
          <w:p w:rsidR="00916675" w:rsidRPr="00227C94" w:rsidRDefault="00916675" w:rsidP="00AF493A">
            <w:pPr>
              <w:pStyle w:val="tblNumber00"/>
            </w:pPr>
            <w:r w:rsidRPr="00227C94">
              <w:t>(230,743)</w:t>
            </w:r>
          </w:p>
        </w:tc>
      </w:tr>
      <w:tr w:rsidR="00916675" w:rsidRPr="00227C94" w:rsidTr="00A701F4">
        <w:trPr>
          <w:cantSplit/>
        </w:trPr>
        <w:tc>
          <w:tcPr>
            <w:tcW w:w="3325" w:type="dxa"/>
            <w:shd w:val="clear" w:color="auto" w:fill="auto"/>
            <w:vAlign w:val="bottom"/>
          </w:tcPr>
          <w:p w:rsidR="00916675" w:rsidRPr="00227C94" w:rsidRDefault="00916675" w:rsidP="00AF493A">
            <w:pPr>
              <w:pStyle w:val="tblText02"/>
            </w:pPr>
          </w:p>
        </w:tc>
        <w:tc>
          <w:tcPr>
            <w:tcW w:w="793" w:type="dxa"/>
            <w:shd w:val="clear" w:color="auto" w:fill="auto"/>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vAlign w:val="bottom"/>
          </w:tcPr>
          <w:p w:rsidR="00916675" w:rsidRPr="00227C94" w:rsidRDefault="00916675" w:rsidP="00AF493A">
            <w:pPr>
              <w:pStyle w:val="tblNumber01"/>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r>
      <w:tr w:rsidR="00916675" w:rsidRPr="00227C94" w:rsidTr="00AF493A">
        <w:trPr>
          <w:cantSplit/>
        </w:trPr>
        <w:tc>
          <w:tcPr>
            <w:tcW w:w="3325" w:type="dxa"/>
            <w:shd w:val="clear" w:color="auto" w:fill="auto"/>
            <w:vAlign w:val="bottom"/>
          </w:tcPr>
          <w:p w:rsidR="00916675" w:rsidRPr="00227C94" w:rsidRDefault="00916675" w:rsidP="00AF493A">
            <w:pPr>
              <w:pStyle w:val="tblText02"/>
              <w:rPr>
                <w:b/>
                <w:lang w:val="en-US"/>
              </w:rPr>
            </w:pPr>
            <w:r w:rsidRPr="00227C94">
              <w:rPr>
                <w:b/>
                <w:lang w:val="en-US"/>
              </w:rPr>
              <w:t>Net cash generated from operating activities</w:t>
            </w:r>
          </w:p>
        </w:tc>
        <w:tc>
          <w:tcPr>
            <w:tcW w:w="793" w:type="dxa"/>
            <w:shd w:val="clear" w:color="auto" w:fill="auto"/>
            <w:vAlign w:val="bottom"/>
          </w:tcPr>
          <w:p w:rsidR="00916675" w:rsidRPr="00227C94" w:rsidRDefault="00916675" w:rsidP="00AF493A">
            <w:pPr>
              <w:pStyle w:val="tblNumber01"/>
              <w:rPr>
                <w:lang w:val="en-US"/>
              </w:rPr>
            </w:pPr>
          </w:p>
        </w:tc>
        <w:tc>
          <w:tcPr>
            <w:tcW w:w="1417" w:type="dxa"/>
            <w:tcBorders>
              <w:bottom w:val="double" w:sz="6" w:space="0" w:color="auto"/>
            </w:tcBorders>
            <w:shd w:val="clear" w:color="auto" w:fill="auto"/>
            <w:vAlign w:val="bottom"/>
          </w:tcPr>
          <w:p w:rsidR="00916675" w:rsidRPr="00227C94" w:rsidRDefault="00916675" w:rsidP="00AF493A">
            <w:pPr>
              <w:pStyle w:val="tblNumber01"/>
              <w:rPr>
                <w:b/>
              </w:rPr>
            </w:pPr>
            <w:r w:rsidRPr="00227C94">
              <w:rPr>
                <w:b/>
              </w:rPr>
              <w:t>451,240</w:t>
            </w:r>
          </w:p>
        </w:tc>
        <w:tc>
          <w:tcPr>
            <w:tcW w:w="283" w:type="dxa"/>
            <w:vAlign w:val="bottom"/>
          </w:tcPr>
          <w:p w:rsidR="00916675" w:rsidRPr="00227C94" w:rsidRDefault="00916675" w:rsidP="00AF493A">
            <w:pPr>
              <w:pStyle w:val="tblNumber01"/>
            </w:pPr>
          </w:p>
        </w:tc>
        <w:tc>
          <w:tcPr>
            <w:tcW w:w="1417" w:type="dxa"/>
            <w:tcBorders>
              <w:bottom w:val="double" w:sz="6" w:space="0" w:color="auto"/>
            </w:tcBorders>
            <w:shd w:val="clear" w:color="auto" w:fill="auto"/>
            <w:vAlign w:val="bottom"/>
          </w:tcPr>
          <w:p w:rsidR="00916675" w:rsidRPr="00227C94" w:rsidRDefault="00916675" w:rsidP="00AF493A">
            <w:pPr>
              <w:pStyle w:val="tblNumber01"/>
              <w:rPr>
                <w:b/>
              </w:rPr>
            </w:pPr>
            <w:r w:rsidRPr="00227C94">
              <w:rPr>
                <w:b/>
              </w:rPr>
              <w:t>290,874</w:t>
            </w:r>
          </w:p>
        </w:tc>
        <w:tc>
          <w:tcPr>
            <w:tcW w:w="283" w:type="dxa"/>
            <w:vAlign w:val="bottom"/>
          </w:tcPr>
          <w:p w:rsidR="00916675" w:rsidRPr="00227C94" w:rsidRDefault="00916675" w:rsidP="00AF493A">
            <w:pPr>
              <w:pStyle w:val="tblNumber01"/>
            </w:pPr>
          </w:p>
        </w:tc>
        <w:tc>
          <w:tcPr>
            <w:tcW w:w="1417" w:type="dxa"/>
            <w:tcBorders>
              <w:bottom w:val="double" w:sz="6" w:space="0" w:color="auto"/>
            </w:tcBorders>
            <w:shd w:val="clear" w:color="auto" w:fill="auto"/>
            <w:vAlign w:val="bottom"/>
          </w:tcPr>
          <w:p w:rsidR="00916675" w:rsidRPr="00227C94" w:rsidRDefault="00916675" w:rsidP="00AF493A">
            <w:pPr>
              <w:pStyle w:val="tblNumber01"/>
              <w:rPr>
                <w:b/>
              </w:rPr>
            </w:pPr>
            <w:r w:rsidRPr="00227C94">
              <w:rPr>
                <w:b/>
              </w:rPr>
              <w:t>765,405</w:t>
            </w:r>
          </w:p>
        </w:tc>
      </w:tr>
    </w:tbl>
    <w:p w:rsidR="00916675" w:rsidRPr="00227C94" w:rsidRDefault="00916675" w:rsidP="00AF493A">
      <w:pPr>
        <w:pStyle w:val="23"/>
        <w:rPr>
          <w:color w:val="auto"/>
        </w:rPr>
      </w:pPr>
    </w:p>
    <w:p w:rsidR="00916675" w:rsidRPr="00227C94" w:rsidRDefault="00916675" w:rsidP="00AF493A">
      <w:pPr>
        <w:pStyle w:val="23"/>
        <w:rPr>
          <w:color w:val="auto"/>
        </w:rPr>
      </w:pPr>
    </w:p>
    <w:p w:rsidR="00916675" w:rsidRPr="00227C94" w:rsidRDefault="00AF493A" w:rsidP="00AF493A">
      <w:pPr>
        <w:pStyle w:val="1"/>
      </w:pPr>
      <w:r w:rsidRPr="00227C94">
        <w:br w:type="page"/>
      </w:r>
      <w:r w:rsidR="00916675" w:rsidRPr="00227C94">
        <w:lastRenderedPageBreak/>
        <w:t>RELATED PARTIES</w:t>
      </w:r>
    </w:p>
    <w:p w:rsidR="00916675" w:rsidRPr="00227C94" w:rsidRDefault="00916675" w:rsidP="00AF493A">
      <w:pPr>
        <w:pStyle w:val="23"/>
        <w:rPr>
          <w:color w:val="auto"/>
        </w:rPr>
      </w:pPr>
    </w:p>
    <w:p w:rsidR="00916675" w:rsidRPr="00227C94" w:rsidRDefault="00916675" w:rsidP="00AF493A">
      <w:pPr>
        <w:pStyle w:val="23"/>
        <w:rPr>
          <w:color w:val="auto"/>
          <w:lang w:val="en-US"/>
        </w:rPr>
      </w:pPr>
      <w:r w:rsidRPr="00227C94">
        <w:rPr>
          <w:color w:val="auto"/>
          <w:lang w:val="en-US"/>
        </w:rPr>
        <w:t>Related parties include substantial shareholders, entities under common ownership and control with the Group and members of key management personnel. The Company and its subsidiaries, in the ordinary course of business, enter into purchase and service transactions with related parties. The terms of these transactions would not necessarily be on similar terms had the Group entered into the transactions with third parties.</w:t>
      </w:r>
    </w:p>
    <w:p w:rsidR="00916675" w:rsidRPr="00227C94" w:rsidRDefault="00916675" w:rsidP="00AF493A">
      <w:pPr>
        <w:pStyle w:val="23"/>
        <w:rPr>
          <w:color w:val="auto"/>
          <w:lang w:val="en-US"/>
        </w:rPr>
      </w:pPr>
    </w:p>
    <w:p w:rsidR="00916675" w:rsidRPr="00227C94" w:rsidRDefault="00916675" w:rsidP="00AF493A">
      <w:pPr>
        <w:pStyle w:val="23"/>
        <w:rPr>
          <w:color w:val="auto"/>
          <w:lang w:val="en-US"/>
        </w:rPr>
      </w:pPr>
      <w:r w:rsidRPr="00227C94">
        <w:rPr>
          <w:color w:val="auto"/>
          <w:lang w:val="en-US"/>
        </w:rPr>
        <w:t>The Group had no transactions with its substantial shareholders during the six-month periods ended 30 June 2012 and 30 June 2011 and for the year ended 31 December 2011, except for the Reorganisation described in the annual consolidated financial statements for the year ended 31 December 2011.</w:t>
      </w:r>
    </w:p>
    <w:p w:rsidR="00916675" w:rsidRPr="00227C94" w:rsidRDefault="00916675" w:rsidP="00AF493A">
      <w:pPr>
        <w:pStyle w:val="23"/>
        <w:rPr>
          <w:color w:val="auto"/>
          <w:lang w:val="en-US"/>
        </w:rPr>
      </w:pPr>
    </w:p>
    <w:p w:rsidR="00916675" w:rsidRPr="00227C94" w:rsidRDefault="00916675" w:rsidP="00AF493A">
      <w:pPr>
        <w:pStyle w:val="22"/>
      </w:pPr>
      <w:r w:rsidRPr="00227C94">
        <w:t>Entities under common ownership</w:t>
      </w:r>
    </w:p>
    <w:p w:rsidR="00916675" w:rsidRPr="00227C94" w:rsidRDefault="00916675" w:rsidP="00AF493A">
      <w:pPr>
        <w:pStyle w:val="23"/>
        <w:rPr>
          <w:color w:val="auto"/>
        </w:rPr>
      </w:pPr>
    </w:p>
    <w:p w:rsidR="00916675" w:rsidRPr="00227C94" w:rsidRDefault="00916675" w:rsidP="00AF493A">
      <w:pPr>
        <w:pStyle w:val="23"/>
        <w:rPr>
          <w:color w:val="auto"/>
          <w:lang w:val="en-US"/>
        </w:rPr>
      </w:pPr>
      <w:r w:rsidRPr="00227C94">
        <w:rPr>
          <w:color w:val="auto"/>
          <w:lang w:val="en-US"/>
        </w:rPr>
        <w:t>The Group had the following outstanding balances with entities under common control:</w:t>
      </w:r>
    </w:p>
    <w:p w:rsidR="00916675" w:rsidRPr="00227C94" w:rsidRDefault="00916675" w:rsidP="00AF493A">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AF493A">
            <w:pPr>
              <w:pStyle w:val="tblHeaderText"/>
              <w:jc w:val="left"/>
              <w:rPr>
                <w:lang w:val="en-US"/>
              </w:rPr>
            </w:pPr>
          </w:p>
        </w:tc>
        <w:tc>
          <w:tcPr>
            <w:tcW w:w="1417" w:type="dxa"/>
            <w:tcBorders>
              <w:bottom w:val="single" w:sz="6" w:space="0" w:color="auto"/>
            </w:tcBorders>
            <w:shd w:val="clear" w:color="auto" w:fill="auto"/>
            <w:vAlign w:val="bottom"/>
          </w:tcPr>
          <w:p w:rsidR="00916675" w:rsidRPr="00227C94" w:rsidRDefault="00916675" w:rsidP="00AF493A">
            <w:pPr>
              <w:pStyle w:val="tblHeaderText"/>
            </w:pPr>
            <w:r w:rsidRPr="00227C94">
              <w:t>30 June</w:t>
            </w:r>
          </w:p>
          <w:p w:rsidR="00916675" w:rsidRPr="00227C94" w:rsidRDefault="00916675" w:rsidP="00AF493A">
            <w:pPr>
              <w:pStyle w:val="tblHeaderText"/>
            </w:pPr>
            <w:r w:rsidRPr="00227C94">
              <w:t>2012</w:t>
            </w:r>
          </w:p>
        </w:tc>
        <w:tc>
          <w:tcPr>
            <w:tcW w:w="283" w:type="dxa"/>
            <w:tcBorders>
              <w:right w:val="nil"/>
            </w:tcBorders>
            <w:shd w:val="clear" w:color="auto" w:fill="auto"/>
          </w:tcPr>
          <w:p w:rsidR="00916675" w:rsidRPr="00227C94" w:rsidRDefault="00916675" w:rsidP="00AF493A">
            <w:pPr>
              <w:pStyle w:val="tblHeaderText"/>
            </w:pPr>
          </w:p>
        </w:tc>
        <w:tc>
          <w:tcPr>
            <w:tcW w:w="1417" w:type="dxa"/>
            <w:tcBorders>
              <w:left w:val="nil"/>
              <w:bottom w:val="single" w:sz="6" w:space="0" w:color="auto"/>
            </w:tcBorders>
            <w:shd w:val="clear" w:color="auto" w:fill="auto"/>
            <w:vAlign w:val="bottom"/>
          </w:tcPr>
          <w:p w:rsidR="00916675" w:rsidRPr="00227C94" w:rsidRDefault="00916675" w:rsidP="00AF493A">
            <w:pPr>
              <w:pStyle w:val="tblHeaderText"/>
            </w:pPr>
            <w:r w:rsidRPr="00227C94">
              <w:t>30 June</w:t>
            </w:r>
          </w:p>
          <w:p w:rsidR="00916675" w:rsidRPr="00227C94" w:rsidRDefault="00916675" w:rsidP="00AF493A">
            <w:pPr>
              <w:pStyle w:val="tblHeaderText"/>
            </w:pPr>
            <w:r w:rsidRPr="00227C94">
              <w:t>2011</w:t>
            </w:r>
          </w:p>
        </w:tc>
        <w:tc>
          <w:tcPr>
            <w:tcW w:w="283" w:type="dxa"/>
            <w:tcBorders>
              <w:left w:val="nil"/>
            </w:tcBorders>
            <w:shd w:val="clear" w:color="auto" w:fill="auto"/>
          </w:tcPr>
          <w:p w:rsidR="00916675" w:rsidRPr="00227C94" w:rsidRDefault="00916675" w:rsidP="00AF493A">
            <w:pPr>
              <w:pStyle w:val="tblHeaderText"/>
            </w:pPr>
          </w:p>
        </w:tc>
        <w:tc>
          <w:tcPr>
            <w:tcW w:w="1417" w:type="dxa"/>
            <w:tcBorders>
              <w:left w:val="nil"/>
              <w:bottom w:val="single" w:sz="6" w:space="0" w:color="auto"/>
            </w:tcBorders>
            <w:shd w:val="clear" w:color="auto" w:fill="auto"/>
          </w:tcPr>
          <w:p w:rsidR="00916675" w:rsidRPr="00227C94" w:rsidRDefault="00916675" w:rsidP="00AF493A">
            <w:pPr>
              <w:pStyle w:val="tblHeaderText"/>
            </w:pPr>
            <w:r w:rsidRPr="00227C94">
              <w:t>31 December 2011</w:t>
            </w:r>
          </w:p>
        </w:tc>
      </w:tr>
      <w:tr w:rsidR="00916675" w:rsidRPr="00227C94" w:rsidTr="00AF493A">
        <w:trPr>
          <w:cantSplit/>
        </w:trPr>
        <w:tc>
          <w:tcPr>
            <w:tcW w:w="4118" w:type="dxa"/>
          </w:tcPr>
          <w:p w:rsidR="00916675" w:rsidRPr="00227C94" w:rsidRDefault="00916675" w:rsidP="00AF493A">
            <w:pPr>
              <w:pStyle w:val="tblText02"/>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tcBorders>
              <w:righ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c>
          <w:tcPr>
            <w:tcW w:w="283" w:type="dxa"/>
            <w:tcBorders>
              <w:lef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r>
      <w:tr w:rsidR="00916675" w:rsidRPr="00227C94" w:rsidTr="00AF493A">
        <w:trPr>
          <w:cantSplit/>
        </w:trPr>
        <w:tc>
          <w:tcPr>
            <w:tcW w:w="4118" w:type="dxa"/>
            <w:vAlign w:val="bottom"/>
          </w:tcPr>
          <w:p w:rsidR="00916675" w:rsidRPr="00227C94" w:rsidRDefault="00916675" w:rsidP="00AF493A">
            <w:pPr>
              <w:pStyle w:val="tblText02"/>
              <w:rPr>
                <w:lang w:val="en-US"/>
              </w:rPr>
            </w:pPr>
            <w:r w:rsidRPr="00227C94">
              <w:rPr>
                <w:lang w:val="en-US"/>
              </w:rPr>
              <w:t>Cash and cash equivalents at Bank “Mezhdunarodniy finansoviy club”</w:t>
            </w:r>
          </w:p>
        </w:tc>
        <w:tc>
          <w:tcPr>
            <w:tcW w:w="1417" w:type="dxa"/>
            <w:vAlign w:val="bottom"/>
          </w:tcPr>
          <w:p w:rsidR="00916675" w:rsidRPr="00227C94" w:rsidRDefault="00916675" w:rsidP="00AF493A">
            <w:pPr>
              <w:pStyle w:val="tblNumber01"/>
              <w:rPr>
                <w:szCs w:val="18"/>
              </w:rPr>
            </w:pPr>
            <w:r w:rsidRPr="00227C94">
              <w:t>112,257</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107,018</w:t>
            </w:r>
          </w:p>
        </w:tc>
        <w:tc>
          <w:tcPr>
            <w:tcW w:w="283" w:type="dxa"/>
            <w:tcBorders>
              <w:lef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149,323</w:t>
            </w:r>
          </w:p>
        </w:tc>
      </w:tr>
      <w:tr w:rsidR="00916675" w:rsidRPr="00227C94" w:rsidTr="00AF493A">
        <w:trPr>
          <w:cantSplit/>
        </w:trPr>
        <w:tc>
          <w:tcPr>
            <w:tcW w:w="4118" w:type="dxa"/>
            <w:vAlign w:val="bottom"/>
          </w:tcPr>
          <w:p w:rsidR="00916675" w:rsidRPr="00227C94" w:rsidRDefault="00916675" w:rsidP="00AF493A">
            <w:pPr>
              <w:pStyle w:val="tblText02"/>
              <w:rPr>
                <w:lang w:val="en-US"/>
              </w:rPr>
            </w:pPr>
            <w:r w:rsidRPr="00227C94">
              <w:rPr>
                <w:lang w:val="en-US"/>
              </w:rPr>
              <w:t>Investments in securities and other financial assets at “Mezhdunarodniy finansoviy club”</w:t>
            </w:r>
          </w:p>
        </w:tc>
        <w:tc>
          <w:tcPr>
            <w:tcW w:w="1417" w:type="dxa"/>
            <w:vAlign w:val="bottom"/>
          </w:tcPr>
          <w:p w:rsidR="00916675" w:rsidRPr="00227C94" w:rsidRDefault="00916675" w:rsidP="00AF493A">
            <w:pPr>
              <w:pStyle w:val="tblNumber01"/>
              <w:rPr>
                <w:szCs w:val="18"/>
              </w:rPr>
            </w:pPr>
            <w:r w:rsidRPr="00227C94">
              <w:t>9,694</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Dash"/>
            </w:pPr>
            <w:r w:rsidRPr="00227C94">
              <w:t>-</w:t>
            </w:r>
          </w:p>
        </w:tc>
        <w:tc>
          <w:tcPr>
            <w:tcW w:w="283" w:type="dxa"/>
            <w:tcBorders>
              <w:lef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1,553</w:t>
            </w:r>
          </w:p>
        </w:tc>
      </w:tr>
      <w:tr w:rsidR="00916675" w:rsidRPr="00227C94" w:rsidTr="00AF493A">
        <w:trPr>
          <w:cantSplit/>
        </w:trPr>
        <w:tc>
          <w:tcPr>
            <w:tcW w:w="4118" w:type="dxa"/>
            <w:vAlign w:val="bottom"/>
          </w:tcPr>
          <w:p w:rsidR="00916675" w:rsidRPr="00227C94" w:rsidRDefault="00916675" w:rsidP="00AF493A">
            <w:pPr>
              <w:pStyle w:val="tblText02"/>
            </w:pPr>
            <w:r w:rsidRPr="00227C94">
              <w:t>Prepayments to suppliers</w:t>
            </w:r>
          </w:p>
        </w:tc>
        <w:tc>
          <w:tcPr>
            <w:tcW w:w="1417" w:type="dxa"/>
            <w:vAlign w:val="bottom"/>
          </w:tcPr>
          <w:p w:rsidR="00916675" w:rsidRPr="00227C94" w:rsidRDefault="00916675" w:rsidP="00AF493A">
            <w:pPr>
              <w:pStyle w:val="tblNumber01"/>
              <w:rPr>
                <w:szCs w:val="18"/>
              </w:rPr>
            </w:pPr>
            <w:r w:rsidRPr="00227C94">
              <w:t>679</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1,305</w:t>
            </w:r>
          </w:p>
        </w:tc>
        <w:tc>
          <w:tcPr>
            <w:tcW w:w="283" w:type="dxa"/>
            <w:tcBorders>
              <w:lef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216</w:t>
            </w:r>
          </w:p>
        </w:tc>
      </w:tr>
    </w:tbl>
    <w:p w:rsidR="00916675" w:rsidRPr="00227C94" w:rsidRDefault="00916675" w:rsidP="00AF493A">
      <w:pPr>
        <w:pStyle w:val="23"/>
        <w:rPr>
          <w:color w:val="auto"/>
          <w:lang w:val="en-US"/>
        </w:rPr>
      </w:pPr>
    </w:p>
    <w:p w:rsidR="00AF493A" w:rsidRPr="00227C94" w:rsidRDefault="00AF493A" w:rsidP="00AF493A">
      <w:pPr>
        <w:pStyle w:val="23"/>
        <w:rPr>
          <w:color w:val="auto"/>
          <w:lang w:val="en-US"/>
        </w:rPr>
      </w:pPr>
    </w:p>
    <w:p w:rsidR="00916675" w:rsidRPr="00227C94" w:rsidRDefault="00916675" w:rsidP="00AF493A">
      <w:pPr>
        <w:pStyle w:val="23"/>
        <w:rPr>
          <w:color w:val="auto"/>
          <w:lang w:val="en-US"/>
        </w:rPr>
      </w:pPr>
      <w:r w:rsidRPr="00227C94">
        <w:rPr>
          <w:color w:val="auto"/>
          <w:lang w:val="en-US"/>
        </w:rPr>
        <w:t>The amounts outstanding at 30 June 2012 are unsecured and expected to be settled in cash. No expense has been recognised in the reporting period for bad or doubtful debts in respect of the amounts owed by related parties.</w:t>
      </w:r>
    </w:p>
    <w:p w:rsidR="00916675" w:rsidRPr="00227C94" w:rsidRDefault="00916675" w:rsidP="00AF493A">
      <w:pPr>
        <w:pStyle w:val="23"/>
        <w:rPr>
          <w:color w:val="auto"/>
          <w:lang w:val="en-US"/>
        </w:rPr>
      </w:pPr>
    </w:p>
    <w:p w:rsidR="00916675" w:rsidRPr="00227C94" w:rsidRDefault="00916675" w:rsidP="00AF493A">
      <w:pPr>
        <w:pStyle w:val="23"/>
        <w:rPr>
          <w:color w:val="auto"/>
          <w:lang w:val="en-US"/>
        </w:rPr>
      </w:pPr>
      <w:r w:rsidRPr="00227C94">
        <w:rPr>
          <w:color w:val="auto"/>
          <w:lang w:val="en-US"/>
        </w:rPr>
        <w:t>The Group entered into the following transactions with entities under common control:</w:t>
      </w:r>
    </w:p>
    <w:p w:rsidR="00916675" w:rsidRPr="00227C94" w:rsidRDefault="00916675" w:rsidP="00AF493A">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AF493A">
            <w:pPr>
              <w:pStyle w:val="tblHeaderText"/>
              <w:jc w:val="left"/>
              <w:rPr>
                <w:lang w:val="en-US"/>
              </w:rPr>
            </w:pPr>
          </w:p>
        </w:tc>
        <w:tc>
          <w:tcPr>
            <w:tcW w:w="1417" w:type="dxa"/>
            <w:tcBorders>
              <w:bottom w:val="single" w:sz="6" w:space="0" w:color="auto"/>
            </w:tcBorders>
            <w:shd w:val="clear" w:color="auto" w:fill="auto"/>
            <w:vAlign w:val="bottom"/>
          </w:tcPr>
          <w:p w:rsidR="00916675" w:rsidRPr="00227C94" w:rsidRDefault="00916675" w:rsidP="00AF493A">
            <w:pPr>
              <w:pStyle w:val="tblHeaderText"/>
            </w:pPr>
            <w:r w:rsidRPr="00227C94">
              <w:t xml:space="preserve">Six months ended </w:t>
            </w:r>
            <w:r w:rsidR="00AF493A" w:rsidRPr="00227C94">
              <w:rPr>
                <w:lang w:val="en-US"/>
              </w:rPr>
              <w:br/>
            </w:r>
            <w:r w:rsidRPr="00227C94">
              <w:t>30 June 2012</w:t>
            </w:r>
          </w:p>
        </w:tc>
        <w:tc>
          <w:tcPr>
            <w:tcW w:w="283" w:type="dxa"/>
            <w:tcBorders>
              <w:right w:val="nil"/>
            </w:tcBorders>
            <w:shd w:val="clear" w:color="auto" w:fill="auto"/>
          </w:tcPr>
          <w:p w:rsidR="00916675" w:rsidRPr="00227C94" w:rsidRDefault="00916675" w:rsidP="00AF493A">
            <w:pPr>
              <w:pStyle w:val="tblHeaderText"/>
            </w:pPr>
          </w:p>
        </w:tc>
        <w:tc>
          <w:tcPr>
            <w:tcW w:w="1417" w:type="dxa"/>
            <w:tcBorders>
              <w:left w:val="nil"/>
              <w:bottom w:val="single" w:sz="6" w:space="0" w:color="auto"/>
            </w:tcBorders>
            <w:shd w:val="clear" w:color="auto" w:fill="auto"/>
            <w:vAlign w:val="bottom"/>
          </w:tcPr>
          <w:p w:rsidR="00916675" w:rsidRPr="00227C94" w:rsidRDefault="00916675" w:rsidP="00AF493A">
            <w:pPr>
              <w:pStyle w:val="tblHeaderText"/>
            </w:pPr>
            <w:r w:rsidRPr="00227C94">
              <w:t xml:space="preserve">Six months ended </w:t>
            </w:r>
            <w:r w:rsidR="00AF493A" w:rsidRPr="00227C94">
              <w:rPr>
                <w:lang w:val="en-US"/>
              </w:rPr>
              <w:br/>
            </w:r>
            <w:r w:rsidRPr="00227C94">
              <w:t>30 June 2011</w:t>
            </w:r>
          </w:p>
        </w:tc>
        <w:tc>
          <w:tcPr>
            <w:tcW w:w="283" w:type="dxa"/>
            <w:tcBorders>
              <w:left w:val="nil"/>
            </w:tcBorders>
            <w:shd w:val="clear" w:color="auto" w:fill="auto"/>
          </w:tcPr>
          <w:p w:rsidR="00916675" w:rsidRPr="00227C94" w:rsidRDefault="00916675" w:rsidP="00AF493A">
            <w:pPr>
              <w:pStyle w:val="tblHeaderText"/>
            </w:pPr>
          </w:p>
        </w:tc>
        <w:tc>
          <w:tcPr>
            <w:tcW w:w="1417" w:type="dxa"/>
            <w:tcBorders>
              <w:left w:val="nil"/>
              <w:bottom w:val="single" w:sz="6" w:space="0" w:color="auto"/>
            </w:tcBorders>
            <w:shd w:val="clear" w:color="auto" w:fill="auto"/>
          </w:tcPr>
          <w:p w:rsidR="00916675" w:rsidRPr="00227C94" w:rsidRDefault="00916675" w:rsidP="00AF493A">
            <w:pPr>
              <w:pStyle w:val="tblHeaderText"/>
            </w:pPr>
            <w:r w:rsidRPr="00227C94">
              <w:t>Year ended</w:t>
            </w:r>
          </w:p>
          <w:p w:rsidR="00916675" w:rsidRPr="00227C94" w:rsidRDefault="00916675" w:rsidP="00AF493A">
            <w:pPr>
              <w:pStyle w:val="tblHeaderText"/>
            </w:pPr>
            <w:r w:rsidRPr="00227C94">
              <w:t>31 December 2011</w:t>
            </w:r>
          </w:p>
        </w:tc>
      </w:tr>
      <w:tr w:rsidR="00916675" w:rsidRPr="00227C94" w:rsidTr="00AF493A">
        <w:trPr>
          <w:cantSplit/>
        </w:trPr>
        <w:tc>
          <w:tcPr>
            <w:tcW w:w="4118" w:type="dxa"/>
          </w:tcPr>
          <w:p w:rsidR="00916675" w:rsidRPr="00227C94" w:rsidRDefault="00916675" w:rsidP="00AF493A">
            <w:pPr>
              <w:pStyle w:val="tblText02"/>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tcBorders>
              <w:righ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c>
          <w:tcPr>
            <w:tcW w:w="283" w:type="dxa"/>
            <w:tcBorders>
              <w:lef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r>
      <w:tr w:rsidR="00916675" w:rsidRPr="00227C94" w:rsidTr="00AF493A">
        <w:trPr>
          <w:cantSplit/>
        </w:trPr>
        <w:tc>
          <w:tcPr>
            <w:tcW w:w="4118" w:type="dxa"/>
            <w:vAlign w:val="bottom"/>
          </w:tcPr>
          <w:p w:rsidR="00916675" w:rsidRPr="00227C94" w:rsidRDefault="00916675" w:rsidP="00AF493A">
            <w:pPr>
              <w:pStyle w:val="tblText02"/>
              <w:rPr>
                <w:lang w:val="en-US"/>
              </w:rPr>
            </w:pPr>
            <w:r w:rsidRPr="00227C94">
              <w:rPr>
                <w:lang w:val="en-US"/>
              </w:rPr>
              <w:t>Purchase of goods and services</w:t>
            </w:r>
          </w:p>
        </w:tc>
        <w:tc>
          <w:tcPr>
            <w:tcW w:w="1417" w:type="dxa"/>
            <w:vAlign w:val="bottom"/>
          </w:tcPr>
          <w:p w:rsidR="00916675" w:rsidRPr="00227C94" w:rsidRDefault="00916675" w:rsidP="00AF493A">
            <w:pPr>
              <w:pStyle w:val="tblNumber01"/>
            </w:pPr>
            <w:r w:rsidRPr="00227C94">
              <w:t>1,863</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2,261</w:t>
            </w:r>
          </w:p>
        </w:tc>
        <w:tc>
          <w:tcPr>
            <w:tcW w:w="283" w:type="dxa"/>
            <w:tcBorders>
              <w:lef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2,224</w:t>
            </w:r>
          </w:p>
        </w:tc>
      </w:tr>
      <w:tr w:rsidR="00916675" w:rsidRPr="00227C94" w:rsidTr="00AF493A">
        <w:trPr>
          <w:cantSplit/>
        </w:trPr>
        <w:tc>
          <w:tcPr>
            <w:tcW w:w="4118" w:type="dxa"/>
            <w:vAlign w:val="bottom"/>
          </w:tcPr>
          <w:p w:rsidR="00916675" w:rsidRPr="00227C94" w:rsidRDefault="00916675" w:rsidP="00AF493A">
            <w:pPr>
              <w:pStyle w:val="tblText02"/>
            </w:pPr>
            <w:r w:rsidRPr="00227C94">
              <w:t>Interest income</w:t>
            </w:r>
          </w:p>
        </w:tc>
        <w:tc>
          <w:tcPr>
            <w:tcW w:w="1417" w:type="dxa"/>
            <w:vAlign w:val="bottom"/>
          </w:tcPr>
          <w:p w:rsidR="00916675" w:rsidRPr="00227C94" w:rsidRDefault="00916675" w:rsidP="00AF493A">
            <w:pPr>
              <w:pStyle w:val="tblNumber01"/>
            </w:pPr>
            <w:r w:rsidRPr="00227C94">
              <w:t>4,323</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1,335</w:t>
            </w:r>
          </w:p>
        </w:tc>
        <w:tc>
          <w:tcPr>
            <w:tcW w:w="283" w:type="dxa"/>
            <w:tcBorders>
              <w:lef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5,136</w:t>
            </w:r>
          </w:p>
        </w:tc>
      </w:tr>
    </w:tbl>
    <w:p w:rsidR="00916675" w:rsidRPr="00227C94" w:rsidRDefault="00916675" w:rsidP="00AF493A">
      <w:pPr>
        <w:pStyle w:val="23"/>
        <w:rPr>
          <w:color w:val="auto"/>
        </w:rPr>
      </w:pPr>
    </w:p>
    <w:p w:rsidR="00916675" w:rsidRPr="00227C94" w:rsidRDefault="00916675" w:rsidP="00AF493A">
      <w:pPr>
        <w:pStyle w:val="23"/>
        <w:rPr>
          <w:color w:val="auto"/>
        </w:rPr>
      </w:pPr>
    </w:p>
    <w:p w:rsidR="00916675" w:rsidRPr="00227C94" w:rsidRDefault="00916675" w:rsidP="00AF493A">
      <w:pPr>
        <w:pStyle w:val="22"/>
      </w:pPr>
      <w:r w:rsidRPr="00227C94">
        <w:t>Key management personnel</w:t>
      </w:r>
    </w:p>
    <w:p w:rsidR="00916675" w:rsidRPr="00227C94" w:rsidRDefault="00916675" w:rsidP="00AF493A">
      <w:pPr>
        <w:pStyle w:val="23"/>
        <w:rPr>
          <w:color w:val="auto"/>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AF493A">
            <w:pPr>
              <w:pStyle w:val="tblHeaderText"/>
              <w:jc w:val="left"/>
            </w:pPr>
          </w:p>
        </w:tc>
        <w:tc>
          <w:tcPr>
            <w:tcW w:w="1417" w:type="dxa"/>
            <w:tcBorders>
              <w:bottom w:val="single" w:sz="6" w:space="0" w:color="auto"/>
            </w:tcBorders>
            <w:shd w:val="clear" w:color="auto" w:fill="auto"/>
            <w:vAlign w:val="bottom"/>
          </w:tcPr>
          <w:p w:rsidR="00916675" w:rsidRPr="00227C94" w:rsidRDefault="00916675" w:rsidP="00AF493A">
            <w:pPr>
              <w:pStyle w:val="tblHeaderText"/>
            </w:pPr>
            <w:r w:rsidRPr="00227C94">
              <w:t xml:space="preserve">Six months ended </w:t>
            </w:r>
            <w:r w:rsidR="00AF493A" w:rsidRPr="00227C94">
              <w:rPr>
                <w:lang w:val="en-US"/>
              </w:rPr>
              <w:br/>
            </w:r>
            <w:r w:rsidRPr="00227C94">
              <w:t>30 June 2012</w:t>
            </w:r>
          </w:p>
        </w:tc>
        <w:tc>
          <w:tcPr>
            <w:tcW w:w="283" w:type="dxa"/>
            <w:tcBorders>
              <w:right w:val="nil"/>
            </w:tcBorders>
            <w:shd w:val="clear" w:color="auto" w:fill="auto"/>
          </w:tcPr>
          <w:p w:rsidR="00916675" w:rsidRPr="00227C94" w:rsidRDefault="00916675" w:rsidP="00AF493A">
            <w:pPr>
              <w:pStyle w:val="tblHeaderText"/>
            </w:pPr>
          </w:p>
        </w:tc>
        <w:tc>
          <w:tcPr>
            <w:tcW w:w="1417" w:type="dxa"/>
            <w:tcBorders>
              <w:left w:val="nil"/>
              <w:bottom w:val="single" w:sz="6" w:space="0" w:color="auto"/>
            </w:tcBorders>
            <w:shd w:val="clear" w:color="auto" w:fill="auto"/>
            <w:vAlign w:val="bottom"/>
          </w:tcPr>
          <w:p w:rsidR="00916675" w:rsidRPr="00227C94" w:rsidRDefault="00916675" w:rsidP="00AF493A">
            <w:pPr>
              <w:pStyle w:val="tblHeaderText"/>
            </w:pPr>
            <w:r w:rsidRPr="00227C94">
              <w:t xml:space="preserve">Six months ended </w:t>
            </w:r>
            <w:r w:rsidR="00AF493A" w:rsidRPr="00227C94">
              <w:rPr>
                <w:lang w:val="en-US"/>
              </w:rPr>
              <w:br/>
            </w:r>
            <w:r w:rsidRPr="00227C94">
              <w:t>30 June 2011</w:t>
            </w:r>
          </w:p>
        </w:tc>
        <w:tc>
          <w:tcPr>
            <w:tcW w:w="283" w:type="dxa"/>
            <w:tcBorders>
              <w:left w:val="nil"/>
            </w:tcBorders>
            <w:shd w:val="clear" w:color="auto" w:fill="auto"/>
          </w:tcPr>
          <w:p w:rsidR="00916675" w:rsidRPr="00227C94" w:rsidRDefault="00916675" w:rsidP="00AF493A">
            <w:pPr>
              <w:pStyle w:val="tblHeaderText"/>
            </w:pPr>
          </w:p>
        </w:tc>
        <w:tc>
          <w:tcPr>
            <w:tcW w:w="1417" w:type="dxa"/>
            <w:tcBorders>
              <w:left w:val="nil"/>
              <w:bottom w:val="single" w:sz="6" w:space="0" w:color="auto"/>
            </w:tcBorders>
            <w:shd w:val="clear" w:color="auto" w:fill="auto"/>
          </w:tcPr>
          <w:p w:rsidR="00916675" w:rsidRPr="00227C94" w:rsidRDefault="00916675" w:rsidP="00AF493A">
            <w:pPr>
              <w:pStyle w:val="tblHeaderText"/>
            </w:pPr>
            <w:r w:rsidRPr="00227C94">
              <w:t>Year ended</w:t>
            </w:r>
          </w:p>
          <w:p w:rsidR="00916675" w:rsidRPr="00227C94" w:rsidRDefault="00916675" w:rsidP="00AF493A">
            <w:pPr>
              <w:pStyle w:val="tblHeaderText"/>
            </w:pPr>
            <w:r w:rsidRPr="00227C94">
              <w:t>31 December 2011</w:t>
            </w:r>
          </w:p>
        </w:tc>
      </w:tr>
      <w:tr w:rsidR="00916675" w:rsidRPr="00227C94" w:rsidTr="00AF493A">
        <w:trPr>
          <w:cantSplit/>
        </w:trPr>
        <w:tc>
          <w:tcPr>
            <w:tcW w:w="4118" w:type="dxa"/>
          </w:tcPr>
          <w:p w:rsidR="00916675" w:rsidRPr="00227C94" w:rsidRDefault="00916675" w:rsidP="00AF493A">
            <w:pPr>
              <w:pStyle w:val="tblText02"/>
            </w:pPr>
          </w:p>
        </w:tc>
        <w:tc>
          <w:tcPr>
            <w:tcW w:w="1417" w:type="dxa"/>
            <w:tcBorders>
              <w:top w:val="single" w:sz="6" w:space="0" w:color="auto"/>
            </w:tcBorders>
            <w:shd w:val="clear" w:color="auto" w:fill="auto"/>
            <w:vAlign w:val="bottom"/>
          </w:tcPr>
          <w:p w:rsidR="00916675" w:rsidRPr="00227C94" w:rsidRDefault="00916675" w:rsidP="00AF493A">
            <w:pPr>
              <w:pStyle w:val="tblNumber01"/>
            </w:pPr>
          </w:p>
        </w:tc>
        <w:tc>
          <w:tcPr>
            <w:tcW w:w="283" w:type="dxa"/>
            <w:tcBorders>
              <w:righ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c>
          <w:tcPr>
            <w:tcW w:w="283" w:type="dxa"/>
            <w:tcBorders>
              <w:left w:val="nil"/>
            </w:tcBorders>
            <w:vAlign w:val="bottom"/>
          </w:tcPr>
          <w:p w:rsidR="00916675" w:rsidRPr="00227C94" w:rsidRDefault="00916675" w:rsidP="00AF493A">
            <w:pPr>
              <w:pStyle w:val="tblNumber01"/>
            </w:pPr>
          </w:p>
        </w:tc>
        <w:tc>
          <w:tcPr>
            <w:tcW w:w="1417" w:type="dxa"/>
            <w:tcBorders>
              <w:top w:val="single" w:sz="6" w:space="0" w:color="auto"/>
              <w:left w:val="nil"/>
            </w:tcBorders>
            <w:shd w:val="clear" w:color="auto" w:fill="auto"/>
            <w:vAlign w:val="bottom"/>
          </w:tcPr>
          <w:p w:rsidR="00916675" w:rsidRPr="00227C94" w:rsidRDefault="00916675" w:rsidP="00AF493A">
            <w:pPr>
              <w:pStyle w:val="tblNumber01"/>
            </w:pPr>
          </w:p>
        </w:tc>
      </w:tr>
      <w:tr w:rsidR="00916675" w:rsidRPr="00227C94" w:rsidTr="00AF493A">
        <w:trPr>
          <w:cantSplit/>
        </w:trPr>
        <w:tc>
          <w:tcPr>
            <w:tcW w:w="4118" w:type="dxa"/>
            <w:vAlign w:val="bottom"/>
          </w:tcPr>
          <w:p w:rsidR="00916675" w:rsidRPr="00227C94" w:rsidRDefault="00916675" w:rsidP="00AF493A">
            <w:pPr>
              <w:pStyle w:val="tblText02"/>
              <w:rPr>
                <w:rFonts w:cs="Arial"/>
                <w:szCs w:val="18"/>
                <w:lang w:val="en-US"/>
              </w:rPr>
            </w:pPr>
            <w:r w:rsidRPr="00227C94">
              <w:rPr>
                <w:lang w:val="en-US"/>
              </w:rPr>
              <w:t>Short-term compensation of key management personnel amounted to</w:t>
            </w:r>
          </w:p>
        </w:tc>
        <w:tc>
          <w:tcPr>
            <w:tcW w:w="1417" w:type="dxa"/>
            <w:vAlign w:val="bottom"/>
          </w:tcPr>
          <w:p w:rsidR="00916675" w:rsidRPr="00227C94" w:rsidRDefault="00916675" w:rsidP="00AF493A">
            <w:pPr>
              <w:pStyle w:val="tblNumber01"/>
            </w:pPr>
            <w:r w:rsidRPr="00227C94">
              <w:t>24,224</w:t>
            </w:r>
          </w:p>
        </w:tc>
        <w:tc>
          <w:tcPr>
            <w:tcW w:w="283" w:type="dxa"/>
            <w:tcBorders>
              <w:righ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8,317</w:t>
            </w:r>
          </w:p>
        </w:tc>
        <w:tc>
          <w:tcPr>
            <w:tcW w:w="283" w:type="dxa"/>
            <w:tcBorders>
              <w:left w:val="nil"/>
            </w:tcBorders>
            <w:vAlign w:val="bottom"/>
          </w:tcPr>
          <w:p w:rsidR="00916675" w:rsidRPr="00227C94" w:rsidRDefault="00916675" w:rsidP="00AF493A">
            <w:pPr>
              <w:pStyle w:val="tblNumber01"/>
            </w:pPr>
          </w:p>
        </w:tc>
        <w:tc>
          <w:tcPr>
            <w:tcW w:w="1417" w:type="dxa"/>
            <w:tcBorders>
              <w:left w:val="nil"/>
            </w:tcBorders>
            <w:vAlign w:val="bottom"/>
          </w:tcPr>
          <w:p w:rsidR="00916675" w:rsidRPr="00227C94" w:rsidRDefault="00916675" w:rsidP="00AF493A">
            <w:pPr>
              <w:pStyle w:val="tblNumber01"/>
            </w:pPr>
            <w:r w:rsidRPr="00227C94">
              <w:t>24,495</w:t>
            </w:r>
          </w:p>
        </w:tc>
      </w:tr>
    </w:tbl>
    <w:p w:rsidR="00916675" w:rsidRPr="00227C94" w:rsidRDefault="00916675" w:rsidP="00AF493A">
      <w:pPr>
        <w:pStyle w:val="23"/>
        <w:rPr>
          <w:color w:val="auto"/>
        </w:rPr>
      </w:pPr>
    </w:p>
    <w:p w:rsidR="00916675" w:rsidRPr="00227C94" w:rsidRDefault="00916675" w:rsidP="00AF493A">
      <w:pPr>
        <w:pStyle w:val="23"/>
        <w:rPr>
          <w:color w:val="auto"/>
        </w:rPr>
      </w:pPr>
    </w:p>
    <w:p w:rsidR="00916675" w:rsidRPr="00227C94" w:rsidRDefault="00AF493A" w:rsidP="00AF493A">
      <w:pPr>
        <w:pStyle w:val="1"/>
      </w:pPr>
      <w:r w:rsidRPr="00227C94">
        <w:br w:type="page"/>
      </w:r>
      <w:r w:rsidR="00916675" w:rsidRPr="00227C94">
        <w:lastRenderedPageBreak/>
        <w:t>COMMITMENTS AND CONTINGENCIES</w:t>
      </w:r>
    </w:p>
    <w:p w:rsidR="00916675" w:rsidRPr="00227C94" w:rsidRDefault="00916675" w:rsidP="00AF493A">
      <w:pPr>
        <w:pStyle w:val="23"/>
        <w:rPr>
          <w:color w:val="auto"/>
        </w:rPr>
      </w:pPr>
    </w:p>
    <w:p w:rsidR="00916675" w:rsidRPr="00227C94" w:rsidRDefault="00916675" w:rsidP="009D27B2">
      <w:pPr>
        <w:pStyle w:val="22"/>
      </w:pPr>
      <w:r w:rsidRPr="00227C94">
        <w:t>Commitments</w:t>
      </w:r>
    </w:p>
    <w:p w:rsidR="00916675" w:rsidRPr="00227C94" w:rsidRDefault="00916675" w:rsidP="00AF493A">
      <w:pPr>
        <w:pStyle w:val="23"/>
        <w:rPr>
          <w:color w:val="auto"/>
        </w:rPr>
      </w:pPr>
    </w:p>
    <w:p w:rsidR="00916675" w:rsidRPr="00227C94" w:rsidRDefault="00916675" w:rsidP="009D27B2">
      <w:pPr>
        <w:pStyle w:val="31"/>
      </w:pPr>
      <w:r w:rsidRPr="00227C94">
        <w:t>Capital commitments</w:t>
      </w:r>
    </w:p>
    <w:p w:rsidR="00916675" w:rsidRPr="00227C94" w:rsidRDefault="00916675" w:rsidP="00AF493A">
      <w:pPr>
        <w:pStyle w:val="23"/>
        <w:rPr>
          <w:color w:val="auto"/>
        </w:rPr>
      </w:pPr>
    </w:p>
    <w:p w:rsidR="00916675" w:rsidRPr="00227C94" w:rsidRDefault="00916675" w:rsidP="00AF493A">
      <w:pPr>
        <w:pStyle w:val="23"/>
        <w:rPr>
          <w:color w:val="auto"/>
          <w:spacing w:val="-2"/>
          <w:lang w:val="en-US"/>
        </w:rPr>
      </w:pPr>
      <w:r w:rsidRPr="00227C94">
        <w:rPr>
          <w:color w:val="auto"/>
          <w:spacing w:val="-2"/>
          <w:lang w:val="en-US"/>
        </w:rPr>
        <w:t>The Group’s contracted capital expenditure commitments are as follows:</w:t>
      </w:r>
    </w:p>
    <w:p w:rsidR="00916675" w:rsidRPr="00227C94" w:rsidRDefault="00916675" w:rsidP="00AF493A">
      <w:pPr>
        <w:pStyle w:val="23"/>
        <w:rPr>
          <w:color w:val="auto"/>
          <w:spacing w:val="-2"/>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blHeader/>
        </w:trPr>
        <w:tc>
          <w:tcPr>
            <w:tcW w:w="4118" w:type="dxa"/>
            <w:vAlign w:val="bottom"/>
          </w:tcPr>
          <w:p w:rsidR="00916675" w:rsidRPr="00227C94" w:rsidRDefault="00916675" w:rsidP="009D27B2">
            <w:pPr>
              <w:pStyle w:val="tblHeaderText"/>
              <w:jc w:val="left"/>
              <w:rPr>
                <w:lang w:val="en-US"/>
              </w:rPr>
            </w:pPr>
          </w:p>
        </w:tc>
        <w:tc>
          <w:tcPr>
            <w:tcW w:w="1417" w:type="dxa"/>
            <w:tcBorders>
              <w:bottom w:val="single" w:sz="6" w:space="0" w:color="auto"/>
            </w:tcBorders>
            <w:shd w:val="clear" w:color="auto" w:fill="auto"/>
            <w:vAlign w:val="bottom"/>
          </w:tcPr>
          <w:p w:rsidR="00916675" w:rsidRPr="00227C94" w:rsidRDefault="00916675" w:rsidP="009D27B2">
            <w:pPr>
              <w:pStyle w:val="tblHeaderText"/>
            </w:pPr>
            <w:r w:rsidRPr="00227C94">
              <w:t>30 June</w:t>
            </w:r>
          </w:p>
          <w:p w:rsidR="00916675" w:rsidRPr="00227C94" w:rsidRDefault="00916675" w:rsidP="009D27B2">
            <w:pPr>
              <w:pStyle w:val="tblHeaderText"/>
            </w:pPr>
            <w:r w:rsidRPr="00227C94">
              <w:t>2012</w:t>
            </w:r>
          </w:p>
        </w:tc>
        <w:tc>
          <w:tcPr>
            <w:tcW w:w="283" w:type="dxa"/>
            <w:tcBorders>
              <w:right w:val="nil"/>
            </w:tcBorders>
            <w:shd w:val="clear" w:color="auto" w:fill="auto"/>
          </w:tcPr>
          <w:p w:rsidR="00916675" w:rsidRPr="00227C94" w:rsidRDefault="00916675" w:rsidP="009D27B2">
            <w:pPr>
              <w:pStyle w:val="tblHeaderText"/>
            </w:pPr>
          </w:p>
        </w:tc>
        <w:tc>
          <w:tcPr>
            <w:tcW w:w="1417" w:type="dxa"/>
            <w:tcBorders>
              <w:left w:val="nil"/>
              <w:bottom w:val="single" w:sz="6" w:space="0" w:color="auto"/>
            </w:tcBorders>
            <w:shd w:val="clear" w:color="auto" w:fill="auto"/>
            <w:vAlign w:val="bottom"/>
          </w:tcPr>
          <w:p w:rsidR="00916675" w:rsidRPr="00227C94" w:rsidRDefault="00916675" w:rsidP="009D27B2">
            <w:pPr>
              <w:pStyle w:val="tblHeaderText"/>
            </w:pPr>
            <w:r w:rsidRPr="00227C94">
              <w:t>30 June</w:t>
            </w:r>
          </w:p>
          <w:p w:rsidR="00916675" w:rsidRPr="00227C94" w:rsidRDefault="00916675" w:rsidP="009D27B2">
            <w:pPr>
              <w:pStyle w:val="tblHeaderText"/>
            </w:pPr>
            <w:r w:rsidRPr="00227C94">
              <w:t>2011</w:t>
            </w:r>
          </w:p>
        </w:tc>
        <w:tc>
          <w:tcPr>
            <w:tcW w:w="283" w:type="dxa"/>
            <w:tcBorders>
              <w:left w:val="nil"/>
            </w:tcBorders>
            <w:shd w:val="clear" w:color="auto" w:fill="auto"/>
          </w:tcPr>
          <w:p w:rsidR="00916675" w:rsidRPr="00227C94" w:rsidRDefault="00916675" w:rsidP="009D27B2">
            <w:pPr>
              <w:pStyle w:val="tblHeaderText"/>
            </w:pPr>
          </w:p>
        </w:tc>
        <w:tc>
          <w:tcPr>
            <w:tcW w:w="1417" w:type="dxa"/>
            <w:tcBorders>
              <w:left w:val="nil"/>
              <w:bottom w:val="single" w:sz="6" w:space="0" w:color="auto"/>
            </w:tcBorders>
            <w:shd w:val="clear" w:color="auto" w:fill="auto"/>
          </w:tcPr>
          <w:p w:rsidR="00916675" w:rsidRPr="00227C94" w:rsidRDefault="00916675" w:rsidP="009D27B2">
            <w:pPr>
              <w:pStyle w:val="tblHeaderText"/>
            </w:pPr>
            <w:r w:rsidRPr="00227C94">
              <w:t>31 December 2011</w:t>
            </w:r>
          </w:p>
        </w:tc>
      </w:tr>
      <w:tr w:rsidR="00916675" w:rsidRPr="00227C94" w:rsidTr="009D27B2">
        <w:trPr>
          <w:cantSplit/>
          <w:tblHeader/>
        </w:trPr>
        <w:tc>
          <w:tcPr>
            <w:tcW w:w="4118" w:type="dxa"/>
          </w:tcPr>
          <w:p w:rsidR="00916675" w:rsidRPr="00227C94" w:rsidRDefault="00916675" w:rsidP="009D27B2">
            <w:pPr>
              <w:pStyle w:val="tblText02"/>
            </w:pPr>
          </w:p>
        </w:tc>
        <w:tc>
          <w:tcPr>
            <w:tcW w:w="1417" w:type="dxa"/>
            <w:tcBorders>
              <w:top w:val="single" w:sz="6" w:space="0" w:color="auto"/>
            </w:tcBorders>
            <w:shd w:val="clear" w:color="auto" w:fill="auto"/>
            <w:vAlign w:val="bottom"/>
          </w:tcPr>
          <w:p w:rsidR="00916675" w:rsidRPr="00227C94" w:rsidRDefault="00916675" w:rsidP="009D27B2">
            <w:pPr>
              <w:pStyle w:val="tblNumber01"/>
            </w:pPr>
          </w:p>
        </w:tc>
        <w:tc>
          <w:tcPr>
            <w:tcW w:w="283" w:type="dxa"/>
            <w:tcBorders>
              <w:right w:val="nil"/>
            </w:tcBorders>
            <w:vAlign w:val="bottom"/>
          </w:tcPr>
          <w:p w:rsidR="00916675" w:rsidRPr="00227C94" w:rsidRDefault="00916675" w:rsidP="009D27B2">
            <w:pPr>
              <w:pStyle w:val="tblNumber01"/>
            </w:pPr>
          </w:p>
        </w:tc>
        <w:tc>
          <w:tcPr>
            <w:tcW w:w="1417" w:type="dxa"/>
            <w:tcBorders>
              <w:top w:val="single" w:sz="6" w:space="0" w:color="auto"/>
              <w:left w:val="nil"/>
            </w:tcBorders>
            <w:shd w:val="clear" w:color="auto" w:fill="auto"/>
            <w:vAlign w:val="bottom"/>
          </w:tcPr>
          <w:p w:rsidR="00916675" w:rsidRPr="00227C94" w:rsidRDefault="00916675" w:rsidP="009D27B2">
            <w:pPr>
              <w:pStyle w:val="tblNumber01"/>
            </w:pPr>
          </w:p>
        </w:tc>
        <w:tc>
          <w:tcPr>
            <w:tcW w:w="283" w:type="dxa"/>
            <w:tcBorders>
              <w:left w:val="nil"/>
            </w:tcBorders>
            <w:vAlign w:val="bottom"/>
          </w:tcPr>
          <w:p w:rsidR="00916675" w:rsidRPr="00227C94" w:rsidRDefault="00916675" w:rsidP="009D27B2">
            <w:pPr>
              <w:pStyle w:val="tblNumber01"/>
            </w:pPr>
          </w:p>
        </w:tc>
        <w:tc>
          <w:tcPr>
            <w:tcW w:w="1417" w:type="dxa"/>
            <w:tcBorders>
              <w:top w:val="single" w:sz="6" w:space="0" w:color="auto"/>
              <w:left w:val="nil"/>
            </w:tcBorders>
            <w:shd w:val="clear" w:color="auto" w:fill="auto"/>
            <w:vAlign w:val="bottom"/>
          </w:tcPr>
          <w:p w:rsidR="00916675" w:rsidRPr="00227C94" w:rsidRDefault="00916675" w:rsidP="009D27B2">
            <w:pPr>
              <w:pStyle w:val="tblNumber01"/>
            </w:pPr>
          </w:p>
        </w:tc>
      </w:tr>
      <w:tr w:rsidR="00916675" w:rsidRPr="00227C94" w:rsidTr="009D27B2">
        <w:trPr>
          <w:cantSplit/>
          <w:tblHeader/>
        </w:trPr>
        <w:tc>
          <w:tcPr>
            <w:tcW w:w="4118" w:type="dxa"/>
          </w:tcPr>
          <w:p w:rsidR="00916675" w:rsidRPr="00227C94" w:rsidRDefault="00916675" w:rsidP="009D27B2">
            <w:pPr>
              <w:pStyle w:val="tblText02"/>
            </w:pPr>
            <w:r w:rsidRPr="00227C94">
              <w:t>Contracted capital expenditure commitments</w:t>
            </w:r>
          </w:p>
        </w:tc>
        <w:tc>
          <w:tcPr>
            <w:tcW w:w="1417" w:type="dxa"/>
            <w:vAlign w:val="bottom"/>
          </w:tcPr>
          <w:p w:rsidR="00916675" w:rsidRPr="00227C94" w:rsidRDefault="00916675" w:rsidP="009D27B2">
            <w:pPr>
              <w:pStyle w:val="tblNumber01"/>
            </w:pPr>
            <w:r w:rsidRPr="00227C94">
              <w:t>234,183</w:t>
            </w:r>
          </w:p>
        </w:tc>
        <w:tc>
          <w:tcPr>
            <w:tcW w:w="283" w:type="dxa"/>
            <w:tcBorders>
              <w:right w:val="nil"/>
            </w:tcBorders>
            <w:vAlign w:val="bottom"/>
          </w:tcPr>
          <w:p w:rsidR="00916675" w:rsidRPr="00227C94" w:rsidRDefault="00916675" w:rsidP="009D27B2">
            <w:pPr>
              <w:pStyle w:val="tblNumber01"/>
            </w:pPr>
          </w:p>
        </w:tc>
        <w:tc>
          <w:tcPr>
            <w:tcW w:w="1417" w:type="dxa"/>
            <w:tcBorders>
              <w:left w:val="nil"/>
            </w:tcBorders>
            <w:vAlign w:val="bottom"/>
          </w:tcPr>
          <w:p w:rsidR="00916675" w:rsidRPr="00227C94" w:rsidRDefault="00916675" w:rsidP="009D27B2">
            <w:pPr>
              <w:pStyle w:val="tblNumber01"/>
            </w:pPr>
            <w:r w:rsidRPr="00227C94">
              <w:t>186,138</w:t>
            </w:r>
          </w:p>
        </w:tc>
        <w:tc>
          <w:tcPr>
            <w:tcW w:w="283" w:type="dxa"/>
            <w:tcBorders>
              <w:left w:val="nil"/>
            </w:tcBorders>
            <w:vAlign w:val="bottom"/>
          </w:tcPr>
          <w:p w:rsidR="00916675" w:rsidRPr="00227C94" w:rsidRDefault="00916675" w:rsidP="009D27B2">
            <w:pPr>
              <w:pStyle w:val="tblNumber01"/>
            </w:pPr>
          </w:p>
        </w:tc>
        <w:tc>
          <w:tcPr>
            <w:tcW w:w="1417" w:type="dxa"/>
            <w:tcBorders>
              <w:left w:val="nil"/>
            </w:tcBorders>
            <w:vAlign w:val="bottom"/>
          </w:tcPr>
          <w:p w:rsidR="00916675" w:rsidRPr="00227C94" w:rsidRDefault="00916675" w:rsidP="009D27B2">
            <w:pPr>
              <w:pStyle w:val="tblNumber01"/>
            </w:pPr>
            <w:r w:rsidRPr="00227C94">
              <w:t>107,019</w:t>
            </w:r>
          </w:p>
        </w:tc>
      </w:tr>
    </w:tbl>
    <w:p w:rsidR="00916675" w:rsidRPr="00227C94" w:rsidRDefault="00916675" w:rsidP="00AF493A">
      <w:pPr>
        <w:pStyle w:val="23"/>
        <w:rPr>
          <w:color w:val="auto"/>
        </w:rPr>
      </w:pPr>
    </w:p>
    <w:p w:rsidR="00916675" w:rsidRPr="00227C94" w:rsidRDefault="00916675" w:rsidP="00AF493A">
      <w:pPr>
        <w:pStyle w:val="23"/>
        <w:rPr>
          <w:color w:val="auto"/>
        </w:rPr>
      </w:pPr>
    </w:p>
    <w:p w:rsidR="00916675" w:rsidRPr="00227C94" w:rsidRDefault="00916675" w:rsidP="009D27B2">
      <w:pPr>
        <w:pStyle w:val="31"/>
        <w:rPr>
          <w:lang w:val="en-US"/>
        </w:rPr>
      </w:pPr>
      <w:r w:rsidRPr="00227C94">
        <w:rPr>
          <w:lang w:val="en-US"/>
        </w:rPr>
        <w:t>Operating leases: Group as a lessee</w:t>
      </w:r>
    </w:p>
    <w:p w:rsidR="00916675" w:rsidRPr="00227C94" w:rsidRDefault="00916675" w:rsidP="00AF493A">
      <w:pPr>
        <w:pStyle w:val="23"/>
        <w:rPr>
          <w:color w:val="auto"/>
          <w:lang w:val="en-US"/>
        </w:rPr>
      </w:pPr>
    </w:p>
    <w:p w:rsidR="00916675" w:rsidRPr="00227C94" w:rsidRDefault="00916675" w:rsidP="00AF493A">
      <w:pPr>
        <w:pStyle w:val="23"/>
        <w:rPr>
          <w:color w:val="auto"/>
          <w:spacing w:val="-2"/>
          <w:lang w:val="en-US"/>
        </w:rPr>
      </w:pPr>
      <w:r w:rsidRPr="00227C94">
        <w:rPr>
          <w:color w:val="auto"/>
          <w:lang w:val="en-US"/>
        </w:rPr>
        <w:t xml:space="preserve">The land in the Russian Federation on which the Group’s production facilities are located is owned by the state. </w:t>
      </w:r>
      <w:r w:rsidRPr="00227C94">
        <w:rPr>
          <w:color w:val="auto"/>
          <w:spacing w:val="-2"/>
          <w:lang w:val="en-US"/>
        </w:rPr>
        <w:t>The Group leases this land through operating lease agreements, which expire in various years through 2060.</w:t>
      </w:r>
    </w:p>
    <w:p w:rsidR="00916675" w:rsidRPr="00227C94" w:rsidRDefault="00916675" w:rsidP="00AF493A">
      <w:pPr>
        <w:pStyle w:val="23"/>
        <w:rPr>
          <w:color w:val="auto"/>
          <w:lang w:val="en-US"/>
        </w:rPr>
      </w:pPr>
    </w:p>
    <w:p w:rsidR="00916675" w:rsidRPr="00227C94" w:rsidRDefault="00916675" w:rsidP="00AF493A">
      <w:pPr>
        <w:pStyle w:val="23"/>
        <w:rPr>
          <w:color w:val="auto"/>
          <w:lang w:val="en-US"/>
        </w:rPr>
      </w:pPr>
      <w:r w:rsidRPr="00227C94">
        <w:rPr>
          <w:color w:val="auto"/>
          <w:lang w:val="en-US"/>
        </w:rPr>
        <w:t>Future minimum lease payments due under non-cancellable operating lease agreements at the end of the period were as follows:</w:t>
      </w:r>
    </w:p>
    <w:p w:rsidR="00916675" w:rsidRPr="00227C94" w:rsidRDefault="00916675" w:rsidP="00AF493A">
      <w:pPr>
        <w:pStyle w:val="23"/>
        <w:rPr>
          <w:color w:val="auto"/>
          <w:lang w:val="en-US"/>
        </w:rPr>
      </w:pPr>
    </w:p>
    <w:tbl>
      <w:tblPr>
        <w:tblW w:w="8935" w:type="dxa"/>
        <w:tblInd w:w="476" w:type="dxa"/>
        <w:tblLayout w:type="fixed"/>
        <w:tblCellMar>
          <w:left w:w="0" w:type="dxa"/>
          <w:right w:w="0" w:type="dxa"/>
        </w:tblCellMar>
        <w:tblLook w:val="0000" w:firstRow="0" w:lastRow="0" w:firstColumn="0" w:lastColumn="0" w:noHBand="0" w:noVBand="0"/>
      </w:tblPr>
      <w:tblGrid>
        <w:gridCol w:w="4118"/>
        <w:gridCol w:w="1417"/>
        <w:gridCol w:w="283"/>
        <w:gridCol w:w="1417"/>
        <w:gridCol w:w="283"/>
        <w:gridCol w:w="1417"/>
      </w:tblGrid>
      <w:tr w:rsidR="00916675" w:rsidRPr="00227C94" w:rsidTr="00A701F4">
        <w:trPr>
          <w:cantSplit/>
        </w:trPr>
        <w:tc>
          <w:tcPr>
            <w:tcW w:w="4118" w:type="dxa"/>
            <w:vAlign w:val="bottom"/>
          </w:tcPr>
          <w:p w:rsidR="00916675" w:rsidRPr="00227C94" w:rsidRDefault="00916675" w:rsidP="009D27B2">
            <w:pPr>
              <w:pStyle w:val="tblHeaderText"/>
              <w:jc w:val="left"/>
              <w:rPr>
                <w:lang w:val="en-US"/>
              </w:rPr>
            </w:pPr>
          </w:p>
        </w:tc>
        <w:tc>
          <w:tcPr>
            <w:tcW w:w="1417" w:type="dxa"/>
            <w:tcBorders>
              <w:bottom w:val="single" w:sz="6" w:space="0" w:color="auto"/>
            </w:tcBorders>
            <w:shd w:val="clear" w:color="auto" w:fill="auto"/>
            <w:vAlign w:val="bottom"/>
          </w:tcPr>
          <w:p w:rsidR="00916675" w:rsidRPr="00227C94" w:rsidRDefault="00916675" w:rsidP="009D27B2">
            <w:pPr>
              <w:pStyle w:val="tblHeaderText"/>
            </w:pPr>
            <w:r w:rsidRPr="00227C94">
              <w:t>30 June</w:t>
            </w:r>
          </w:p>
          <w:p w:rsidR="00916675" w:rsidRPr="00227C94" w:rsidRDefault="00916675" w:rsidP="009D27B2">
            <w:pPr>
              <w:pStyle w:val="tblHeaderText"/>
            </w:pPr>
            <w:r w:rsidRPr="00227C94">
              <w:t>2012</w:t>
            </w:r>
          </w:p>
        </w:tc>
        <w:tc>
          <w:tcPr>
            <w:tcW w:w="283" w:type="dxa"/>
            <w:tcBorders>
              <w:right w:val="nil"/>
            </w:tcBorders>
            <w:shd w:val="clear" w:color="auto" w:fill="auto"/>
          </w:tcPr>
          <w:p w:rsidR="00916675" w:rsidRPr="00227C94" w:rsidRDefault="00916675" w:rsidP="009D27B2">
            <w:pPr>
              <w:pStyle w:val="tblHeaderText"/>
            </w:pPr>
          </w:p>
        </w:tc>
        <w:tc>
          <w:tcPr>
            <w:tcW w:w="1417" w:type="dxa"/>
            <w:tcBorders>
              <w:left w:val="nil"/>
              <w:bottom w:val="single" w:sz="6" w:space="0" w:color="auto"/>
            </w:tcBorders>
            <w:shd w:val="clear" w:color="auto" w:fill="auto"/>
            <w:vAlign w:val="bottom"/>
          </w:tcPr>
          <w:p w:rsidR="00916675" w:rsidRPr="00227C94" w:rsidRDefault="00916675" w:rsidP="009D27B2">
            <w:pPr>
              <w:pStyle w:val="tblHeaderText"/>
            </w:pPr>
            <w:r w:rsidRPr="00227C94">
              <w:t>30 June</w:t>
            </w:r>
          </w:p>
          <w:p w:rsidR="00916675" w:rsidRPr="00227C94" w:rsidRDefault="00916675" w:rsidP="009D27B2">
            <w:pPr>
              <w:pStyle w:val="tblHeaderText"/>
            </w:pPr>
            <w:r w:rsidRPr="00227C94">
              <w:t>2011</w:t>
            </w:r>
          </w:p>
        </w:tc>
        <w:tc>
          <w:tcPr>
            <w:tcW w:w="283" w:type="dxa"/>
            <w:tcBorders>
              <w:left w:val="nil"/>
            </w:tcBorders>
            <w:shd w:val="clear" w:color="auto" w:fill="auto"/>
          </w:tcPr>
          <w:p w:rsidR="00916675" w:rsidRPr="00227C94" w:rsidRDefault="00916675" w:rsidP="009D27B2">
            <w:pPr>
              <w:pStyle w:val="tblHeaderText"/>
            </w:pPr>
          </w:p>
        </w:tc>
        <w:tc>
          <w:tcPr>
            <w:tcW w:w="1417" w:type="dxa"/>
            <w:tcBorders>
              <w:left w:val="nil"/>
              <w:bottom w:val="single" w:sz="6" w:space="0" w:color="auto"/>
            </w:tcBorders>
            <w:shd w:val="clear" w:color="auto" w:fill="auto"/>
          </w:tcPr>
          <w:p w:rsidR="00916675" w:rsidRPr="00227C94" w:rsidRDefault="00916675" w:rsidP="009D27B2">
            <w:pPr>
              <w:pStyle w:val="tblHeaderText"/>
            </w:pPr>
            <w:r w:rsidRPr="00227C94">
              <w:t>31 December 2011</w:t>
            </w:r>
          </w:p>
        </w:tc>
      </w:tr>
      <w:tr w:rsidR="00916675" w:rsidRPr="00227C94" w:rsidTr="009D27B2">
        <w:trPr>
          <w:cantSplit/>
        </w:trPr>
        <w:tc>
          <w:tcPr>
            <w:tcW w:w="4118" w:type="dxa"/>
          </w:tcPr>
          <w:p w:rsidR="00916675" w:rsidRPr="00227C94" w:rsidRDefault="00916675" w:rsidP="009D27B2">
            <w:pPr>
              <w:pStyle w:val="tblText02"/>
            </w:pPr>
          </w:p>
        </w:tc>
        <w:tc>
          <w:tcPr>
            <w:tcW w:w="1417" w:type="dxa"/>
            <w:tcBorders>
              <w:top w:val="single" w:sz="6" w:space="0" w:color="auto"/>
            </w:tcBorders>
            <w:shd w:val="clear" w:color="auto" w:fill="auto"/>
            <w:vAlign w:val="bottom"/>
          </w:tcPr>
          <w:p w:rsidR="00916675" w:rsidRPr="00227C94" w:rsidRDefault="00916675" w:rsidP="009D27B2">
            <w:pPr>
              <w:pStyle w:val="tblNumber01"/>
            </w:pPr>
          </w:p>
        </w:tc>
        <w:tc>
          <w:tcPr>
            <w:tcW w:w="283" w:type="dxa"/>
            <w:tcBorders>
              <w:right w:val="nil"/>
            </w:tcBorders>
            <w:vAlign w:val="bottom"/>
          </w:tcPr>
          <w:p w:rsidR="00916675" w:rsidRPr="00227C94" w:rsidRDefault="00916675" w:rsidP="009D27B2">
            <w:pPr>
              <w:pStyle w:val="tblNumber01"/>
            </w:pPr>
          </w:p>
        </w:tc>
        <w:tc>
          <w:tcPr>
            <w:tcW w:w="1417" w:type="dxa"/>
            <w:tcBorders>
              <w:top w:val="single" w:sz="6" w:space="0" w:color="auto"/>
              <w:left w:val="nil"/>
            </w:tcBorders>
            <w:shd w:val="clear" w:color="auto" w:fill="auto"/>
            <w:vAlign w:val="bottom"/>
          </w:tcPr>
          <w:p w:rsidR="00916675" w:rsidRPr="00227C94" w:rsidRDefault="00916675" w:rsidP="009D27B2">
            <w:pPr>
              <w:pStyle w:val="tblNumber01"/>
            </w:pPr>
          </w:p>
        </w:tc>
        <w:tc>
          <w:tcPr>
            <w:tcW w:w="283" w:type="dxa"/>
            <w:tcBorders>
              <w:left w:val="nil"/>
            </w:tcBorders>
            <w:vAlign w:val="bottom"/>
          </w:tcPr>
          <w:p w:rsidR="00916675" w:rsidRPr="00227C94" w:rsidRDefault="00916675" w:rsidP="009D27B2">
            <w:pPr>
              <w:pStyle w:val="tblNumber01"/>
            </w:pPr>
          </w:p>
        </w:tc>
        <w:tc>
          <w:tcPr>
            <w:tcW w:w="1417" w:type="dxa"/>
            <w:tcBorders>
              <w:top w:val="single" w:sz="6" w:space="0" w:color="auto"/>
              <w:left w:val="nil"/>
            </w:tcBorders>
            <w:shd w:val="clear" w:color="auto" w:fill="auto"/>
            <w:vAlign w:val="bottom"/>
          </w:tcPr>
          <w:p w:rsidR="00916675" w:rsidRPr="00227C94" w:rsidRDefault="00916675" w:rsidP="009D27B2">
            <w:pPr>
              <w:pStyle w:val="tblNumber01"/>
            </w:pPr>
          </w:p>
        </w:tc>
      </w:tr>
      <w:tr w:rsidR="00916675" w:rsidRPr="00227C94" w:rsidTr="009D27B2">
        <w:trPr>
          <w:cantSplit/>
        </w:trPr>
        <w:tc>
          <w:tcPr>
            <w:tcW w:w="4118" w:type="dxa"/>
            <w:vAlign w:val="center"/>
          </w:tcPr>
          <w:p w:rsidR="00916675" w:rsidRPr="00227C94" w:rsidRDefault="00916675" w:rsidP="009D27B2">
            <w:pPr>
              <w:pStyle w:val="tblText02"/>
            </w:pPr>
            <w:r w:rsidRPr="00227C94">
              <w:t>Due within one year</w:t>
            </w:r>
          </w:p>
        </w:tc>
        <w:tc>
          <w:tcPr>
            <w:tcW w:w="1417" w:type="dxa"/>
            <w:vAlign w:val="bottom"/>
          </w:tcPr>
          <w:p w:rsidR="00916675" w:rsidRPr="00227C94" w:rsidRDefault="00916675" w:rsidP="009D27B2">
            <w:pPr>
              <w:pStyle w:val="tblNumber01"/>
            </w:pPr>
            <w:r w:rsidRPr="00227C94">
              <w:t>3,676</w:t>
            </w:r>
          </w:p>
        </w:tc>
        <w:tc>
          <w:tcPr>
            <w:tcW w:w="283" w:type="dxa"/>
            <w:tcBorders>
              <w:right w:val="nil"/>
            </w:tcBorders>
            <w:vAlign w:val="bottom"/>
          </w:tcPr>
          <w:p w:rsidR="00916675" w:rsidRPr="00227C94" w:rsidRDefault="00916675" w:rsidP="009D27B2">
            <w:pPr>
              <w:pStyle w:val="tblNumber01"/>
            </w:pPr>
          </w:p>
        </w:tc>
        <w:tc>
          <w:tcPr>
            <w:tcW w:w="1417" w:type="dxa"/>
            <w:tcBorders>
              <w:left w:val="nil"/>
            </w:tcBorders>
            <w:vAlign w:val="bottom"/>
          </w:tcPr>
          <w:p w:rsidR="00916675" w:rsidRPr="00227C94" w:rsidRDefault="00916675" w:rsidP="009D27B2">
            <w:pPr>
              <w:pStyle w:val="tblNumber01"/>
            </w:pPr>
            <w:r w:rsidRPr="00227C94">
              <w:t>3,760</w:t>
            </w:r>
          </w:p>
        </w:tc>
        <w:tc>
          <w:tcPr>
            <w:tcW w:w="283" w:type="dxa"/>
            <w:tcBorders>
              <w:left w:val="nil"/>
            </w:tcBorders>
            <w:vAlign w:val="bottom"/>
          </w:tcPr>
          <w:p w:rsidR="00916675" w:rsidRPr="00227C94" w:rsidRDefault="00916675" w:rsidP="009D27B2">
            <w:pPr>
              <w:pStyle w:val="tblNumber01"/>
            </w:pPr>
          </w:p>
        </w:tc>
        <w:tc>
          <w:tcPr>
            <w:tcW w:w="1417" w:type="dxa"/>
            <w:tcBorders>
              <w:left w:val="nil"/>
            </w:tcBorders>
            <w:vAlign w:val="bottom"/>
          </w:tcPr>
          <w:p w:rsidR="00916675" w:rsidRPr="00227C94" w:rsidRDefault="00916675" w:rsidP="009D27B2">
            <w:pPr>
              <w:pStyle w:val="tblNumber01"/>
            </w:pPr>
            <w:r w:rsidRPr="00227C94">
              <w:t>4,275</w:t>
            </w:r>
          </w:p>
        </w:tc>
      </w:tr>
      <w:tr w:rsidR="00916675" w:rsidRPr="00227C94" w:rsidTr="00A701F4">
        <w:trPr>
          <w:cantSplit/>
        </w:trPr>
        <w:tc>
          <w:tcPr>
            <w:tcW w:w="4118" w:type="dxa"/>
            <w:vAlign w:val="center"/>
          </w:tcPr>
          <w:p w:rsidR="00916675" w:rsidRPr="00227C94" w:rsidRDefault="00916675" w:rsidP="009D27B2">
            <w:pPr>
              <w:pStyle w:val="tblText02"/>
              <w:rPr>
                <w:lang w:val="en-US"/>
              </w:rPr>
            </w:pPr>
            <w:r w:rsidRPr="00227C94">
              <w:rPr>
                <w:lang w:val="en-US"/>
              </w:rPr>
              <w:t>From one to five years</w:t>
            </w:r>
          </w:p>
        </w:tc>
        <w:tc>
          <w:tcPr>
            <w:tcW w:w="1417" w:type="dxa"/>
            <w:vAlign w:val="bottom"/>
          </w:tcPr>
          <w:p w:rsidR="00916675" w:rsidRPr="00227C94" w:rsidRDefault="00916675" w:rsidP="009D27B2">
            <w:pPr>
              <w:pStyle w:val="tblNumber01"/>
            </w:pPr>
            <w:r w:rsidRPr="00227C94">
              <w:t>7,428</w:t>
            </w:r>
          </w:p>
        </w:tc>
        <w:tc>
          <w:tcPr>
            <w:tcW w:w="283" w:type="dxa"/>
            <w:tcBorders>
              <w:right w:val="nil"/>
            </w:tcBorders>
            <w:vAlign w:val="bottom"/>
          </w:tcPr>
          <w:p w:rsidR="00916675" w:rsidRPr="00227C94" w:rsidRDefault="00916675" w:rsidP="009D27B2">
            <w:pPr>
              <w:pStyle w:val="tblNumber01"/>
            </w:pPr>
          </w:p>
        </w:tc>
        <w:tc>
          <w:tcPr>
            <w:tcW w:w="1417" w:type="dxa"/>
            <w:tcBorders>
              <w:left w:val="nil"/>
            </w:tcBorders>
            <w:vAlign w:val="bottom"/>
          </w:tcPr>
          <w:p w:rsidR="00916675" w:rsidRPr="00227C94" w:rsidRDefault="00916675" w:rsidP="009D27B2">
            <w:pPr>
              <w:pStyle w:val="tblNumber01"/>
            </w:pPr>
            <w:r w:rsidRPr="00227C94">
              <w:t>8,975</w:t>
            </w:r>
          </w:p>
        </w:tc>
        <w:tc>
          <w:tcPr>
            <w:tcW w:w="283" w:type="dxa"/>
            <w:tcBorders>
              <w:left w:val="nil"/>
            </w:tcBorders>
            <w:vAlign w:val="bottom"/>
          </w:tcPr>
          <w:p w:rsidR="00916675" w:rsidRPr="00227C94" w:rsidRDefault="00916675" w:rsidP="009D27B2">
            <w:pPr>
              <w:pStyle w:val="tblNumber01"/>
            </w:pPr>
          </w:p>
        </w:tc>
        <w:tc>
          <w:tcPr>
            <w:tcW w:w="1417" w:type="dxa"/>
            <w:tcBorders>
              <w:left w:val="nil"/>
            </w:tcBorders>
            <w:vAlign w:val="bottom"/>
          </w:tcPr>
          <w:p w:rsidR="00916675" w:rsidRPr="00227C94" w:rsidRDefault="00916675" w:rsidP="009D27B2">
            <w:pPr>
              <w:pStyle w:val="tblNumber01"/>
            </w:pPr>
            <w:r w:rsidRPr="00227C94">
              <w:t>7,629</w:t>
            </w:r>
          </w:p>
        </w:tc>
      </w:tr>
      <w:tr w:rsidR="00916675" w:rsidRPr="00227C94" w:rsidTr="00A701F4">
        <w:trPr>
          <w:cantSplit/>
        </w:trPr>
        <w:tc>
          <w:tcPr>
            <w:tcW w:w="4118" w:type="dxa"/>
          </w:tcPr>
          <w:p w:rsidR="00916675" w:rsidRPr="00227C94" w:rsidRDefault="00916675" w:rsidP="009D27B2">
            <w:pPr>
              <w:pStyle w:val="tblText02"/>
            </w:pPr>
            <w:r w:rsidRPr="00227C94">
              <w:t>Thereafter</w:t>
            </w:r>
          </w:p>
        </w:tc>
        <w:tc>
          <w:tcPr>
            <w:tcW w:w="1417" w:type="dxa"/>
            <w:tcBorders>
              <w:bottom w:val="single" w:sz="6" w:space="0" w:color="auto"/>
            </w:tcBorders>
            <w:shd w:val="clear" w:color="auto" w:fill="auto"/>
            <w:vAlign w:val="bottom"/>
          </w:tcPr>
          <w:p w:rsidR="00916675" w:rsidRPr="00227C94" w:rsidRDefault="00916675" w:rsidP="009D27B2">
            <w:pPr>
              <w:pStyle w:val="tblNumber01"/>
            </w:pPr>
            <w:r w:rsidRPr="00227C94">
              <w:t>16,423</w:t>
            </w:r>
          </w:p>
        </w:tc>
        <w:tc>
          <w:tcPr>
            <w:tcW w:w="283" w:type="dxa"/>
            <w:tcBorders>
              <w:right w:val="nil"/>
            </w:tcBorders>
            <w:vAlign w:val="bottom"/>
          </w:tcPr>
          <w:p w:rsidR="00916675" w:rsidRPr="00227C94" w:rsidRDefault="00916675" w:rsidP="009D27B2">
            <w:pPr>
              <w:pStyle w:val="tblNumber01"/>
            </w:pPr>
          </w:p>
        </w:tc>
        <w:tc>
          <w:tcPr>
            <w:tcW w:w="1417" w:type="dxa"/>
            <w:tcBorders>
              <w:left w:val="nil"/>
              <w:bottom w:val="single" w:sz="6" w:space="0" w:color="auto"/>
            </w:tcBorders>
            <w:shd w:val="clear" w:color="auto" w:fill="auto"/>
            <w:vAlign w:val="bottom"/>
          </w:tcPr>
          <w:p w:rsidR="00916675" w:rsidRPr="00227C94" w:rsidRDefault="00916675" w:rsidP="009D27B2">
            <w:pPr>
              <w:pStyle w:val="tblNumber01"/>
            </w:pPr>
            <w:r w:rsidRPr="00227C94">
              <w:t>20,282</w:t>
            </w:r>
          </w:p>
        </w:tc>
        <w:tc>
          <w:tcPr>
            <w:tcW w:w="283" w:type="dxa"/>
            <w:tcBorders>
              <w:left w:val="nil"/>
            </w:tcBorders>
            <w:vAlign w:val="bottom"/>
          </w:tcPr>
          <w:p w:rsidR="00916675" w:rsidRPr="00227C94" w:rsidRDefault="00916675" w:rsidP="009D27B2">
            <w:pPr>
              <w:pStyle w:val="tblNumber01"/>
            </w:pPr>
          </w:p>
        </w:tc>
        <w:tc>
          <w:tcPr>
            <w:tcW w:w="1417" w:type="dxa"/>
            <w:tcBorders>
              <w:left w:val="nil"/>
              <w:bottom w:val="single" w:sz="6" w:space="0" w:color="auto"/>
            </w:tcBorders>
            <w:shd w:val="clear" w:color="auto" w:fill="auto"/>
            <w:vAlign w:val="bottom"/>
          </w:tcPr>
          <w:p w:rsidR="00916675" w:rsidRPr="00227C94" w:rsidRDefault="00916675" w:rsidP="009D27B2">
            <w:pPr>
              <w:pStyle w:val="tblNumber01"/>
            </w:pPr>
            <w:r w:rsidRPr="00227C94">
              <w:t>17,199</w:t>
            </w:r>
          </w:p>
        </w:tc>
      </w:tr>
      <w:tr w:rsidR="00916675" w:rsidRPr="00227C94" w:rsidTr="00A701F4">
        <w:trPr>
          <w:cantSplit/>
        </w:trPr>
        <w:tc>
          <w:tcPr>
            <w:tcW w:w="4118" w:type="dxa"/>
          </w:tcPr>
          <w:p w:rsidR="00916675" w:rsidRPr="00227C94" w:rsidRDefault="00916675" w:rsidP="009D27B2">
            <w:pPr>
              <w:pStyle w:val="tblText02"/>
            </w:pPr>
          </w:p>
        </w:tc>
        <w:tc>
          <w:tcPr>
            <w:tcW w:w="1417" w:type="dxa"/>
            <w:tcBorders>
              <w:top w:val="single" w:sz="6" w:space="0" w:color="auto"/>
            </w:tcBorders>
            <w:shd w:val="clear" w:color="auto" w:fill="auto"/>
            <w:vAlign w:val="bottom"/>
          </w:tcPr>
          <w:p w:rsidR="00916675" w:rsidRPr="00227C94" w:rsidRDefault="00916675" w:rsidP="009D27B2">
            <w:pPr>
              <w:pStyle w:val="tblNumber01"/>
            </w:pPr>
          </w:p>
        </w:tc>
        <w:tc>
          <w:tcPr>
            <w:tcW w:w="283" w:type="dxa"/>
            <w:tcBorders>
              <w:right w:val="nil"/>
            </w:tcBorders>
            <w:vAlign w:val="bottom"/>
          </w:tcPr>
          <w:p w:rsidR="00916675" w:rsidRPr="00227C94" w:rsidRDefault="00916675" w:rsidP="009D27B2">
            <w:pPr>
              <w:pStyle w:val="tblNumber01"/>
            </w:pPr>
          </w:p>
        </w:tc>
        <w:tc>
          <w:tcPr>
            <w:tcW w:w="1417" w:type="dxa"/>
            <w:tcBorders>
              <w:top w:val="single" w:sz="6" w:space="0" w:color="auto"/>
              <w:left w:val="nil"/>
            </w:tcBorders>
            <w:shd w:val="clear" w:color="auto" w:fill="auto"/>
            <w:vAlign w:val="bottom"/>
          </w:tcPr>
          <w:p w:rsidR="00916675" w:rsidRPr="00227C94" w:rsidRDefault="00916675" w:rsidP="009D27B2">
            <w:pPr>
              <w:pStyle w:val="tblNumber01"/>
            </w:pPr>
          </w:p>
        </w:tc>
        <w:tc>
          <w:tcPr>
            <w:tcW w:w="283" w:type="dxa"/>
            <w:tcBorders>
              <w:left w:val="nil"/>
            </w:tcBorders>
            <w:vAlign w:val="bottom"/>
          </w:tcPr>
          <w:p w:rsidR="00916675" w:rsidRPr="00227C94" w:rsidRDefault="00916675" w:rsidP="009D27B2">
            <w:pPr>
              <w:pStyle w:val="tblNumber01"/>
            </w:pPr>
          </w:p>
        </w:tc>
        <w:tc>
          <w:tcPr>
            <w:tcW w:w="1417" w:type="dxa"/>
            <w:tcBorders>
              <w:top w:val="single" w:sz="6" w:space="0" w:color="auto"/>
              <w:left w:val="nil"/>
            </w:tcBorders>
            <w:shd w:val="clear" w:color="auto" w:fill="auto"/>
            <w:vAlign w:val="bottom"/>
          </w:tcPr>
          <w:p w:rsidR="00916675" w:rsidRPr="00227C94" w:rsidRDefault="00916675" w:rsidP="009D27B2">
            <w:pPr>
              <w:pStyle w:val="tblNumber01"/>
            </w:pPr>
          </w:p>
        </w:tc>
      </w:tr>
      <w:tr w:rsidR="00916675" w:rsidRPr="00227C94" w:rsidTr="009D27B2">
        <w:trPr>
          <w:cantSplit/>
        </w:trPr>
        <w:tc>
          <w:tcPr>
            <w:tcW w:w="4118" w:type="dxa"/>
          </w:tcPr>
          <w:p w:rsidR="00916675" w:rsidRPr="00227C94" w:rsidRDefault="00916675" w:rsidP="009D27B2">
            <w:pPr>
              <w:pStyle w:val="tblText02"/>
              <w:rPr>
                <w:b/>
              </w:rPr>
            </w:pPr>
            <w:r w:rsidRPr="00227C94">
              <w:rPr>
                <w:b/>
              </w:rPr>
              <w:t>Total</w:t>
            </w:r>
          </w:p>
        </w:tc>
        <w:tc>
          <w:tcPr>
            <w:tcW w:w="1417" w:type="dxa"/>
            <w:tcBorders>
              <w:bottom w:val="double" w:sz="6" w:space="0" w:color="auto"/>
            </w:tcBorders>
            <w:shd w:val="clear" w:color="auto" w:fill="auto"/>
            <w:vAlign w:val="bottom"/>
          </w:tcPr>
          <w:p w:rsidR="00916675" w:rsidRPr="00227C94" w:rsidRDefault="00916675" w:rsidP="009D27B2">
            <w:pPr>
              <w:pStyle w:val="tblNumber01"/>
              <w:rPr>
                <w:b/>
              </w:rPr>
            </w:pPr>
            <w:r w:rsidRPr="00227C94">
              <w:rPr>
                <w:b/>
              </w:rPr>
              <w:t>27,527</w:t>
            </w:r>
          </w:p>
        </w:tc>
        <w:tc>
          <w:tcPr>
            <w:tcW w:w="283" w:type="dxa"/>
            <w:tcBorders>
              <w:right w:val="nil"/>
            </w:tcBorders>
            <w:vAlign w:val="bottom"/>
          </w:tcPr>
          <w:p w:rsidR="00916675" w:rsidRPr="00227C94" w:rsidRDefault="00916675" w:rsidP="009D27B2">
            <w:pPr>
              <w:pStyle w:val="tblNumber01"/>
            </w:pPr>
          </w:p>
        </w:tc>
        <w:tc>
          <w:tcPr>
            <w:tcW w:w="1417" w:type="dxa"/>
            <w:tcBorders>
              <w:left w:val="nil"/>
              <w:bottom w:val="double" w:sz="6" w:space="0" w:color="auto"/>
            </w:tcBorders>
            <w:shd w:val="clear" w:color="auto" w:fill="auto"/>
            <w:vAlign w:val="bottom"/>
          </w:tcPr>
          <w:p w:rsidR="00916675" w:rsidRPr="00227C94" w:rsidRDefault="00916675" w:rsidP="009D27B2">
            <w:pPr>
              <w:pStyle w:val="tblNumber01"/>
              <w:rPr>
                <w:b/>
              </w:rPr>
            </w:pPr>
            <w:r w:rsidRPr="00227C94">
              <w:rPr>
                <w:b/>
              </w:rPr>
              <w:t>33,017</w:t>
            </w:r>
          </w:p>
        </w:tc>
        <w:tc>
          <w:tcPr>
            <w:tcW w:w="283" w:type="dxa"/>
            <w:tcBorders>
              <w:left w:val="nil"/>
            </w:tcBorders>
            <w:vAlign w:val="bottom"/>
          </w:tcPr>
          <w:p w:rsidR="00916675" w:rsidRPr="00227C94" w:rsidRDefault="00916675" w:rsidP="009D27B2">
            <w:pPr>
              <w:pStyle w:val="tblNumber01"/>
            </w:pPr>
          </w:p>
        </w:tc>
        <w:tc>
          <w:tcPr>
            <w:tcW w:w="1417" w:type="dxa"/>
            <w:tcBorders>
              <w:left w:val="nil"/>
              <w:bottom w:val="double" w:sz="6" w:space="0" w:color="auto"/>
            </w:tcBorders>
            <w:shd w:val="clear" w:color="auto" w:fill="auto"/>
            <w:vAlign w:val="bottom"/>
          </w:tcPr>
          <w:p w:rsidR="00916675" w:rsidRPr="00227C94" w:rsidRDefault="00916675" w:rsidP="009D27B2">
            <w:pPr>
              <w:pStyle w:val="tblNumber01"/>
              <w:rPr>
                <w:b/>
              </w:rPr>
            </w:pPr>
            <w:r w:rsidRPr="00227C94">
              <w:rPr>
                <w:b/>
              </w:rPr>
              <w:t>29,103</w:t>
            </w:r>
          </w:p>
        </w:tc>
      </w:tr>
    </w:tbl>
    <w:p w:rsidR="00916675" w:rsidRPr="00227C94" w:rsidRDefault="00916675" w:rsidP="00AF493A">
      <w:pPr>
        <w:pStyle w:val="23"/>
        <w:rPr>
          <w:color w:val="auto"/>
        </w:rPr>
      </w:pPr>
    </w:p>
    <w:p w:rsidR="00916675" w:rsidRPr="00227C94" w:rsidRDefault="00916675" w:rsidP="00AF493A">
      <w:pPr>
        <w:pStyle w:val="23"/>
        <w:rPr>
          <w:color w:val="auto"/>
        </w:rPr>
      </w:pPr>
    </w:p>
    <w:p w:rsidR="00916675" w:rsidRPr="00227C94" w:rsidRDefault="00916675" w:rsidP="009D27B2">
      <w:pPr>
        <w:pStyle w:val="22"/>
      </w:pPr>
      <w:r w:rsidRPr="00227C94">
        <w:t>Contingencies</w:t>
      </w:r>
    </w:p>
    <w:p w:rsidR="00916675" w:rsidRPr="00227C94" w:rsidRDefault="00916675" w:rsidP="00AF493A">
      <w:pPr>
        <w:pStyle w:val="23"/>
        <w:rPr>
          <w:color w:val="auto"/>
        </w:rPr>
      </w:pPr>
    </w:p>
    <w:p w:rsidR="00916675" w:rsidRPr="00227C94" w:rsidRDefault="00916675" w:rsidP="009D27B2">
      <w:pPr>
        <w:pStyle w:val="31"/>
      </w:pPr>
      <w:r w:rsidRPr="00227C94">
        <w:t>Litigations</w:t>
      </w:r>
    </w:p>
    <w:p w:rsidR="00916675" w:rsidRPr="00227C94" w:rsidRDefault="00916675" w:rsidP="00AF493A">
      <w:pPr>
        <w:pStyle w:val="23"/>
        <w:rPr>
          <w:color w:val="auto"/>
        </w:rPr>
      </w:pPr>
    </w:p>
    <w:p w:rsidR="00916675" w:rsidRPr="00227C94" w:rsidRDefault="00916675" w:rsidP="00AF493A">
      <w:pPr>
        <w:pStyle w:val="23"/>
        <w:rPr>
          <w:color w:val="auto"/>
          <w:spacing w:val="-2"/>
          <w:lang w:val="en-US"/>
        </w:rPr>
      </w:pPr>
      <w:r w:rsidRPr="00227C94">
        <w:rPr>
          <w:color w:val="auto"/>
          <w:spacing w:val="-2"/>
          <w:lang w:val="en-US"/>
        </w:rPr>
        <w:t>In the ordinary course of business, the Group is a party to litigation matters in a number of jurisdictions, the outcome of which is uncertain and could give rise to adverse outcomes. At the date of issuance of these condensed consolidated interim financial statements the Group was party to a number of claims and litigation, most of which are not material, except:</w:t>
      </w:r>
    </w:p>
    <w:p w:rsidR="00916675" w:rsidRPr="00227C94" w:rsidRDefault="00916675" w:rsidP="00AF493A">
      <w:pPr>
        <w:pStyle w:val="23"/>
        <w:rPr>
          <w:color w:val="auto"/>
          <w:lang w:val="en-US"/>
        </w:rPr>
      </w:pPr>
    </w:p>
    <w:p w:rsidR="00916675" w:rsidRPr="00227C94" w:rsidRDefault="00916675" w:rsidP="009D27B2">
      <w:pPr>
        <w:pStyle w:val="20"/>
        <w:rPr>
          <w:lang w:val="en-US"/>
        </w:rPr>
      </w:pPr>
      <w:r w:rsidRPr="00227C94">
        <w:rPr>
          <w:lang w:val="en-US"/>
        </w:rPr>
        <w:t>A lawsuit against Kazakhaltyn MMC JSC with a potential exposure of USD15</w:t>
      </w:r>
      <w:proofErr w:type="gramStart"/>
      <w:r w:rsidRPr="00227C94">
        <w:rPr>
          <w:lang w:val="en-US"/>
        </w:rPr>
        <w:t>,000</w:t>
      </w:r>
      <w:proofErr w:type="gramEnd"/>
      <w:r w:rsidRPr="00227C94">
        <w:rPr>
          <w:lang w:val="en-US"/>
        </w:rPr>
        <w:t xml:space="preserve"> thousand. The lawsuit is at the initial stage of investigation. Management believes that this claim will not have a material adverse impact on the Group;</w:t>
      </w:r>
    </w:p>
    <w:p w:rsidR="00916675" w:rsidRPr="00227C94" w:rsidRDefault="00916675" w:rsidP="009D27B2">
      <w:pPr>
        <w:pStyle w:val="20"/>
        <w:rPr>
          <w:lang w:val="en-US"/>
        </w:rPr>
      </w:pPr>
      <w:r w:rsidRPr="00227C94">
        <w:rPr>
          <w:lang w:val="en-US"/>
        </w:rPr>
        <w:t>A dispute between the former and current principal shareholders of PGIL is described in paragraph “KazakhGold dispute” below.</w:t>
      </w:r>
    </w:p>
    <w:p w:rsidR="009D27B2" w:rsidRPr="00227C94" w:rsidRDefault="009D27B2" w:rsidP="00AF493A">
      <w:pPr>
        <w:pStyle w:val="23"/>
        <w:rPr>
          <w:color w:val="auto"/>
          <w:lang w:val="en-US"/>
        </w:rPr>
      </w:pPr>
    </w:p>
    <w:p w:rsidR="00916675" w:rsidRPr="00227C94" w:rsidRDefault="00916675" w:rsidP="009D27B2">
      <w:pPr>
        <w:pStyle w:val="a4"/>
        <w:pageBreakBefore/>
        <w:tabs>
          <w:tab w:val="left" w:pos="476"/>
        </w:tabs>
        <w:rPr>
          <w:b/>
        </w:rPr>
      </w:pPr>
      <w:r w:rsidRPr="00227C94">
        <w:rPr>
          <w:b/>
        </w:rPr>
        <w:lastRenderedPageBreak/>
        <w:t>19.</w:t>
      </w:r>
      <w:r w:rsidRPr="00227C94">
        <w:rPr>
          <w:b/>
        </w:rPr>
        <w:tab/>
        <w:t>COMMITMENTS AND CONTINGENCIES (continued)</w:t>
      </w:r>
    </w:p>
    <w:p w:rsidR="00916675" w:rsidRPr="00227C94" w:rsidRDefault="00916675" w:rsidP="009D27B2">
      <w:pPr>
        <w:pStyle w:val="23"/>
        <w:rPr>
          <w:color w:val="auto"/>
          <w:highlight w:val="yellow"/>
        </w:rPr>
      </w:pPr>
    </w:p>
    <w:p w:rsidR="00916675" w:rsidRPr="00227C94" w:rsidRDefault="00916675" w:rsidP="009D27B2">
      <w:pPr>
        <w:pStyle w:val="22"/>
      </w:pPr>
      <w:r w:rsidRPr="00227C94">
        <w:t>KazakhGold dispute</w:t>
      </w:r>
    </w:p>
    <w:p w:rsidR="00916675" w:rsidRPr="00227C94" w:rsidRDefault="00916675" w:rsidP="009D27B2">
      <w:pPr>
        <w:pStyle w:val="23"/>
        <w:rPr>
          <w:color w:val="auto"/>
        </w:rPr>
      </w:pPr>
    </w:p>
    <w:p w:rsidR="00916675" w:rsidRPr="00227C94" w:rsidRDefault="00916675" w:rsidP="009D27B2">
      <w:pPr>
        <w:pStyle w:val="23"/>
        <w:rPr>
          <w:color w:val="auto"/>
          <w:lang w:val="en-US"/>
        </w:rPr>
      </w:pPr>
      <w:r w:rsidRPr="00227C94">
        <w:rPr>
          <w:color w:val="auto"/>
          <w:lang w:val="en-US"/>
        </w:rPr>
        <w:t xml:space="preserve">A dispute between the former and current principal shareholders of PGIL, whereby the current </w:t>
      </w:r>
      <w:r w:rsidRPr="00227C94">
        <w:rPr>
          <w:color w:val="auto"/>
          <w:spacing w:val="-4"/>
          <w:lang w:val="en-US"/>
        </w:rPr>
        <w:t xml:space="preserve">shareholders were asserting that the former shareholders were negligent in their fiduciary responsibilities </w:t>
      </w:r>
      <w:r w:rsidRPr="00227C94">
        <w:rPr>
          <w:color w:val="auto"/>
          <w:lang w:val="en-US"/>
        </w:rPr>
        <w:t>related to KazakhGold, herewith the sequence of events, to date:</w:t>
      </w:r>
    </w:p>
    <w:p w:rsidR="00916675" w:rsidRPr="00227C94" w:rsidRDefault="00916675" w:rsidP="009D27B2">
      <w:pPr>
        <w:pStyle w:val="23"/>
        <w:rPr>
          <w:color w:val="auto"/>
          <w:lang w:val="en-US"/>
        </w:rPr>
      </w:pPr>
    </w:p>
    <w:p w:rsidR="00916675" w:rsidRPr="00227C94" w:rsidRDefault="00916675" w:rsidP="009D27B2">
      <w:pPr>
        <w:pStyle w:val="20"/>
        <w:rPr>
          <w:spacing w:val="-3"/>
          <w:lang w:val="en-US"/>
        </w:rPr>
      </w:pPr>
      <w:r w:rsidRPr="00227C94">
        <w:rPr>
          <w:lang w:val="en-US"/>
        </w:rPr>
        <w:t xml:space="preserve">on 10 April 2011, the Group entered into a Restated and Amended Principal Agreement </w:t>
      </w:r>
      <w:r w:rsidR="009D27B2" w:rsidRPr="00227C94">
        <w:rPr>
          <w:lang w:val="en-US"/>
        </w:rPr>
        <w:br/>
      </w:r>
      <w:r w:rsidRPr="00227C94">
        <w:rPr>
          <w:lang w:val="en-US"/>
        </w:rPr>
        <w:t>(the “RAPA”), and a Settlement Deed in respect of the claims which provides for a conditional settlement and release of the orders, judgments and claims, whether in litigation, arbitration or otherwise, initiated, inter alia in the UK, Jersey, the BVI, or</w:t>
      </w:r>
      <w:r w:rsidRPr="00227C94" w:rsidDel="002B3786">
        <w:rPr>
          <w:lang w:val="en-US"/>
        </w:rPr>
        <w:t xml:space="preserve"> </w:t>
      </w:r>
      <w:r w:rsidRPr="00227C94">
        <w:rPr>
          <w:lang w:val="en-US"/>
        </w:rPr>
        <w:t xml:space="preserve">Jenington and Kazakhaltyn, on the </w:t>
      </w:r>
      <w:r w:rsidRPr="00227C94">
        <w:rPr>
          <w:spacing w:val="-2"/>
          <w:lang w:val="en-US"/>
        </w:rPr>
        <w:t xml:space="preserve">one hand, and the Assaubayev family, on the other hand, and all of their respective subsidiaries </w:t>
      </w:r>
      <w:r w:rsidRPr="00227C94">
        <w:rPr>
          <w:lang w:val="en-US"/>
        </w:rPr>
        <w:t xml:space="preserve">and affiliates, relating to the matters referred to in those proceedings or otherwise arising in respect of the original acquisition of 65 percent of KazakhGold by Jenington, without any admission of liability on either part (the “Settlement Deed”). Pursuant to the RAPA, AltynGroup (Assaubayev family) agreed to acquire the Company’s operating subsidiaries in Kazakhstan, Romania and Kyrgyzstan in tranches. The aggregate transaction price for all the shares is USD 509 million, as well as the provision of funds required to repay the loan provided to KazakhGold by Jenington. The sale of the operating subsidiaries is subject of numerous conditions, most of </w:t>
      </w:r>
      <w:r w:rsidRPr="00227C94">
        <w:rPr>
          <w:spacing w:val="-3"/>
          <w:lang w:val="en-US"/>
        </w:rPr>
        <w:t>which are outstanding, and uncertain as to resolution at the date of these condensed consolidated interim financial statements;</w:t>
      </w:r>
    </w:p>
    <w:p w:rsidR="00916675" w:rsidRPr="00227C94" w:rsidRDefault="00916675" w:rsidP="009D27B2">
      <w:pPr>
        <w:pStyle w:val="20"/>
        <w:rPr>
          <w:spacing w:val="-2"/>
          <w:lang w:val="en-US"/>
        </w:rPr>
      </w:pPr>
      <w:proofErr w:type="gramStart"/>
      <w:r w:rsidRPr="00227C94">
        <w:rPr>
          <w:spacing w:val="-2"/>
          <w:lang w:val="en-US"/>
        </w:rPr>
        <w:t>in</w:t>
      </w:r>
      <w:proofErr w:type="gramEnd"/>
      <w:r w:rsidRPr="00227C94">
        <w:rPr>
          <w:spacing w:val="-2"/>
          <w:lang w:val="en-US"/>
        </w:rPr>
        <w:t xml:space="preserve"> May 2011, the Ministry of Industry and New Technologies of Kazakhstan (the “MINT”) granted its approval to the proposed Reorganisation of KazakhGold and Polyus Gold and to the sale of 100% of the shares in Kazakhaltyn MMC JSC to AltynGroup. MINT has also revoked its previous letters, which annulled the waiver obtained for the partial offer by Jenington International Inc. for 50.1% of shares in KazakhGold, which was completed in August 2009, and the waivers obtained in September 2010 for the proposed Reorganisation between Polyus Gold and KazakhGold and the US$100 million equity placing completed by KazakhGold on 1 July 2010;</w:t>
      </w:r>
    </w:p>
    <w:p w:rsidR="00916675" w:rsidRPr="00227C94" w:rsidRDefault="00916675" w:rsidP="009D27B2">
      <w:pPr>
        <w:pStyle w:val="20"/>
        <w:rPr>
          <w:lang w:val="en-US"/>
        </w:rPr>
      </w:pPr>
      <w:proofErr w:type="gramStart"/>
      <w:r w:rsidRPr="00227C94">
        <w:rPr>
          <w:lang w:val="en-US"/>
        </w:rPr>
        <w:t>in</w:t>
      </w:r>
      <w:proofErr w:type="gramEnd"/>
      <w:r w:rsidRPr="00227C94">
        <w:rPr>
          <w:lang w:val="en-US"/>
        </w:rPr>
        <w:t xml:space="preserve"> May 2011, criminal investigations by the Agency on Economic and Corruption Crimes of the Republic of Kazakhstan (“AECC”) against three members of KazakhGold's Board of Directors were terminated.</w:t>
      </w:r>
    </w:p>
    <w:p w:rsidR="00916675" w:rsidRPr="00227C94" w:rsidRDefault="00916675" w:rsidP="009D27B2">
      <w:pPr>
        <w:pStyle w:val="20"/>
        <w:rPr>
          <w:spacing w:val="-2"/>
          <w:lang w:val="en-US"/>
        </w:rPr>
      </w:pPr>
      <w:r w:rsidRPr="00227C94">
        <w:rPr>
          <w:spacing w:val="-5"/>
          <w:lang w:val="en-US"/>
        </w:rPr>
        <w:t xml:space="preserve">On 12 September 2011, the Company entered into a deed of amendment (the “RAPA Amendment”) </w:t>
      </w:r>
      <w:r w:rsidRPr="00227C94">
        <w:rPr>
          <w:spacing w:val="-2"/>
          <w:lang w:val="en-US"/>
        </w:rPr>
        <w:t>to the RAPA dated 10 April 2011 for the sale of its operating subsidiaries in Kazakhstan, Romania and Kyrgyzstan with AltynGroup, under which the parties have agreed to extend the date of the First Tranche Completion until 12 October 2011 and made a number of consequential changes to reflect a corresponding extension of other deadlines set forth in the RAPA and the documentary stand-by letter of credit for USD 100,000,000 obtained by the Company pursuant to the terms of the RAPA.</w:t>
      </w:r>
    </w:p>
    <w:p w:rsidR="00916675" w:rsidRPr="00227C94" w:rsidRDefault="00916675" w:rsidP="009D27B2">
      <w:pPr>
        <w:pStyle w:val="20"/>
        <w:rPr>
          <w:lang w:val="en-US"/>
        </w:rPr>
      </w:pPr>
      <w:r w:rsidRPr="00227C94">
        <w:rPr>
          <w:lang w:val="en-US"/>
        </w:rPr>
        <w:t xml:space="preserve">On 13 October 2011, the Group announced that it entered into a second deed of amendment to the RAPA dated 10 April 2011 for the sale of its operating subsidiaries and related matters, as amended by the deed of amendment dated 12 September 2011, with AltynGroup, under which </w:t>
      </w:r>
      <w:r w:rsidRPr="00227C94">
        <w:rPr>
          <w:spacing w:val="-5"/>
          <w:lang w:val="en-US"/>
        </w:rPr>
        <w:t xml:space="preserve">the parties agreed to further extend the date of the First Tranche Completion until 12 December 2011 </w:t>
      </w:r>
      <w:r w:rsidRPr="00227C94">
        <w:rPr>
          <w:lang w:val="en-US"/>
        </w:rPr>
        <w:t xml:space="preserve">and made a number of consequential changes to reflect a corresponding extension of other </w:t>
      </w:r>
      <w:r w:rsidRPr="00227C94">
        <w:rPr>
          <w:spacing w:val="-3"/>
          <w:lang w:val="en-US"/>
        </w:rPr>
        <w:t>deadlines set forth in the RAPA and the documentary stand-by letter of credit for USD100,000</w:t>
      </w:r>
      <w:r w:rsidR="00EB76CC" w:rsidRPr="00227C94">
        <w:rPr>
          <w:spacing w:val="-3"/>
          <w:lang w:val="en-US"/>
        </w:rPr>
        <w:t xml:space="preserve"> thousand</w:t>
      </w:r>
      <w:r w:rsidRPr="00227C94">
        <w:rPr>
          <w:spacing w:val="-3"/>
          <w:lang w:val="en-US"/>
        </w:rPr>
        <w:t xml:space="preserve"> </w:t>
      </w:r>
      <w:r w:rsidRPr="00227C94">
        <w:rPr>
          <w:lang w:val="en-US"/>
        </w:rPr>
        <w:t>obtained by the Company pursuant to the terms of the RAPA.</w:t>
      </w:r>
    </w:p>
    <w:p w:rsidR="00916675" w:rsidRPr="00227C94" w:rsidRDefault="00916675" w:rsidP="009D27B2">
      <w:pPr>
        <w:pStyle w:val="20"/>
        <w:rPr>
          <w:spacing w:val="-2"/>
          <w:lang w:val="en-US"/>
        </w:rPr>
      </w:pPr>
      <w:r w:rsidRPr="00227C94">
        <w:rPr>
          <w:spacing w:val="-2"/>
          <w:lang w:val="en-US"/>
        </w:rPr>
        <w:t>The Company has terminated the RAPA with AltynGroup given that the First Tranche Completion under the RAPA did not occur by the First Tranche Cut-Off Date. The Letter of Credit, which was issued in favour of PGIL under the terms of the RAPA, has been extended until 29 June 2012 and remains in full force and effect.</w:t>
      </w:r>
    </w:p>
    <w:p w:rsidR="00916675" w:rsidRPr="00227C94" w:rsidRDefault="00916675" w:rsidP="009D27B2">
      <w:pPr>
        <w:pStyle w:val="20"/>
        <w:rPr>
          <w:lang w:val="en-US"/>
        </w:rPr>
      </w:pPr>
      <w:r w:rsidRPr="00227C94">
        <w:rPr>
          <w:lang w:val="en-US"/>
        </w:rPr>
        <w:t>At 8 June 2012 Sale and Purchase Agreement between the Company, Romanshorn, Jenington (all part of PGIL Group) and AltynGroup Holdings Korlatolt Felelossegu Tarsasag controlled by the Assaubayev family (further AltynGroup Holdings) was signed, according to which all Kazakhstan and Kirgizia subsidiaries of the Group were to be sold to AltynGroup Holdings.</w:t>
      </w:r>
    </w:p>
    <w:p w:rsidR="00916675" w:rsidRPr="00227C94" w:rsidRDefault="00916675" w:rsidP="009D27B2">
      <w:pPr>
        <w:pStyle w:val="a4"/>
        <w:pageBreakBefore/>
        <w:tabs>
          <w:tab w:val="left" w:pos="476"/>
        </w:tabs>
        <w:rPr>
          <w:b/>
        </w:rPr>
      </w:pPr>
      <w:r w:rsidRPr="00227C94">
        <w:rPr>
          <w:b/>
        </w:rPr>
        <w:lastRenderedPageBreak/>
        <w:t>19.</w:t>
      </w:r>
      <w:r w:rsidRPr="00227C94">
        <w:rPr>
          <w:b/>
        </w:rPr>
        <w:tab/>
        <w:t>COMMITMENTS AND CONTINGENCIES (continued)</w:t>
      </w:r>
    </w:p>
    <w:p w:rsidR="00916675" w:rsidRPr="00227C94" w:rsidRDefault="00916675" w:rsidP="009D27B2">
      <w:pPr>
        <w:pStyle w:val="23"/>
        <w:rPr>
          <w:color w:val="auto"/>
        </w:rPr>
      </w:pPr>
    </w:p>
    <w:p w:rsidR="00916675" w:rsidRPr="00227C94" w:rsidRDefault="00916675" w:rsidP="009D27B2">
      <w:pPr>
        <w:pStyle w:val="20"/>
        <w:rPr>
          <w:lang w:val="en-US"/>
        </w:rPr>
      </w:pPr>
      <w:bookmarkStart w:id="391" w:name="_DV_M506"/>
      <w:bookmarkStart w:id="392" w:name="_DV_M507"/>
      <w:bookmarkStart w:id="393" w:name="_DV_M508"/>
      <w:bookmarkEnd w:id="391"/>
      <w:bookmarkEnd w:id="392"/>
      <w:bookmarkEnd w:id="393"/>
      <w:r w:rsidRPr="00227C94">
        <w:rPr>
          <w:lang w:val="en-US"/>
        </w:rPr>
        <w:t>By the end of June 2012 year the following SPA conditions were satisfied:</w:t>
      </w:r>
    </w:p>
    <w:p w:rsidR="00916675" w:rsidRPr="00227C94" w:rsidRDefault="009D27B2" w:rsidP="009D27B2">
      <w:pPr>
        <w:pStyle w:val="32"/>
        <w:rPr>
          <w:spacing w:val="-2"/>
          <w:lang w:val="en-US"/>
        </w:rPr>
      </w:pPr>
      <w:r w:rsidRPr="00227C94">
        <w:rPr>
          <w:lang w:val="en-US"/>
        </w:rPr>
        <w:t xml:space="preserve">At </w:t>
      </w:r>
      <w:r w:rsidR="00916675" w:rsidRPr="00227C94">
        <w:rPr>
          <w:lang w:val="en-US"/>
        </w:rPr>
        <w:t xml:space="preserve">14 June 2012 Gold Lion Holdings Limited signed a Deed of Novation of the Company’s loans to Jenington, according to which all rights for loans payable by the Company to Gold </w:t>
      </w:r>
      <w:r w:rsidR="00916675" w:rsidRPr="00227C94">
        <w:rPr>
          <w:spacing w:val="-2"/>
          <w:lang w:val="en-US"/>
        </w:rPr>
        <w:t>Lion Holdings Limited will be transferred to Jenington for zero consideration upon the earlier of the Completion Date under SPA or 30 September 2012;</w:t>
      </w:r>
    </w:p>
    <w:p w:rsidR="00916675" w:rsidRPr="00227C94" w:rsidRDefault="009D27B2" w:rsidP="009D27B2">
      <w:pPr>
        <w:pStyle w:val="32"/>
      </w:pPr>
      <w:r w:rsidRPr="00227C94">
        <w:rPr>
          <w:lang w:val="en-US"/>
        </w:rPr>
        <w:t xml:space="preserve">At </w:t>
      </w:r>
      <w:r w:rsidR="00916675" w:rsidRPr="00227C94">
        <w:rPr>
          <w:lang w:val="en-US"/>
        </w:rPr>
        <w:t xml:space="preserve">20 June 2012 AltynGroup Holdings has made a prepayment to the Company in amount of USD40 million by making a drawing under the documentary stand-by letter of credit for USD100 million. </w:t>
      </w:r>
      <w:r w:rsidR="00916675" w:rsidRPr="00227C94">
        <w:t>The amount was treated as an advance received.</w:t>
      </w:r>
    </w:p>
    <w:p w:rsidR="00916675" w:rsidRPr="00227C94" w:rsidRDefault="00916675" w:rsidP="009D27B2">
      <w:pPr>
        <w:pStyle w:val="20"/>
        <w:rPr>
          <w:lang w:val="en-US"/>
        </w:rPr>
      </w:pPr>
      <w:r w:rsidRPr="00227C94">
        <w:rPr>
          <w:lang w:val="en-US"/>
        </w:rPr>
        <w:t>The SPA contains certain conditions and some of them are beyond the Company’s control (see note 20). Besides required approvals from Kazakhstan authorities, the deal can be cancelled by any party at any time, until the consideration is paid by AltynGroup Holdings, thus the Company concluded that Kazakhstan and Kirgizia assets shall be treated as continuous operations, until the sale becomes highly probable.</w:t>
      </w:r>
    </w:p>
    <w:p w:rsidR="00916675" w:rsidRPr="00227C94" w:rsidRDefault="00916675" w:rsidP="009D27B2">
      <w:pPr>
        <w:pStyle w:val="23"/>
        <w:rPr>
          <w:color w:val="auto"/>
          <w:lang w:val="en-US"/>
        </w:rPr>
      </w:pPr>
    </w:p>
    <w:p w:rsidR="00916675" w:rsidRPr="00227C94" w:rsidRDefault="00916675" w:rsidP="009D27B2">
      <w:pPr>
        <w:pStyle w:val="31"/>
      </w:pPr>
      <w:r w:rsidRPr="00227C94">
        <w:t>Insurance</w:t>
      </w:r>
    </w:p>
    <w:p w:rsidR="00916675" w:rsidRPr="00227C94" w:rsidRDefault="00916675" w:rsidP="009D27B2">
      <w:pPr>
        <w:pStyle w:val="23"/>
        <w:rPr>
          <w:color w:val="auto"/>
        </w:rPr>
      </w:pPr>
    </w:p>
    <w:p w:rsidR="00916675" w:rsidRPr="00227C94" w:rsidRDefault="00916675" w:rsidP="009D27B2">
      <w:pPr>
        <w:pStyle w:val="23"/>
        <w:rPr>
          <w:color w:val="auto"/>
          <w:lang w:val="en-US"/>
        </w:rPr>
      </w:pPr>
      <w:r w:rsidRPr="00227C94">
        <w:rPr>
          <w:color w:val="auto"/>
          <w:lang w:val="en-US"/>
        </w:rPr>
        <w:t>The insurance industry is not yet well developed in the Russian Federation and the Republic of Kazakhstan and many forms of insurance protection common in more economically developed countries are not yet available on comparable terms. The Group does not have full insurance coverage for its mining, processing and transportation facilities, for business interruption, or for third party liabilities in respect of property or environmental damage arising from accidents on the Group’s property or relating to the Group’s operations, other than limited coverage required by law.</w:t>
      </w:r>
    </w:p>
    <w:p w:rsidR="00916675" w:rsidRPr="00227C94" w:rsidRDefault="00916675" w:rsidP="009D27B2">
      <w:pPr>
        <w:pStyle w:val="23"/>
        <w:rPr>
          <w:color w:val="auto"/>
          <w:lang w:val="en-US"/>
        </w:rPr>
      </w:pPr>
    </w:p>
    <w:p w:rsidR="00916675" w:rsidRPr="00227C94" w:rsidRDefault="00916675" w:rsidP="009D27B2">
      <w:pPr>
        <w:pStyle w:val="23"/>
        <w:rPr>
          <w:color w:val="auto"/>
          <w:lang w:val="en-US"/>
        </w:rPr>
      </w:pPr>
      <w:r w:rsidRPr="00227C94">
        <w:rPr>
          <w:color w:val="auto"/>
          <w:lang w:val="en-US"/>
        </w:rPr>
        <w:t>The Group, as a participant in exploration and mining activities may become subject to liability for risks that cannot be insured against, or against which it may elect not to be insured because of high premium costs. Losses from uninsured risks may cause the Group to incur costs that could have a material adverse effect on the Group’s business and financial condition.</w:t>
      </w:r>
    </w:p>
    <w:p w:rsidR="00916675" w:rsidRPr="00227C94" w:rsidRDefault="00916675" w:rsidP="009D27B2">
      <w:pPr>
        <w:pStyle w:val="23"/>
        <w:rPr>
          <w:color w:val="auto"/>
          <w:lang w:val="en-US"/>
        </w:rPr>
      </w:pPr>
    </w:p>
    <w:p w:rsidR="00916675" w:rsidRPr="00227C94" w:rsidRDefault="00916675" w:rsidP="009D27B2">
      <w:pPr>
        <w:pStyle w:val="31"/>
        <w:rPr>
          <w:lang w:val="en-US"/>
        </w:rPr>
      </w:pPr>
      <w:r w:rsidRPr="00227C94">
        <w:rPr>
          <w:lang w:val="en-US"/>
        </w:rPr>
        <w:t>Taxation contingencies in the Russian Federation</w:t>
      </w:r>
    </w:p>
    <w:p w:rsidR="00916675" w:rsidRPr="00227C94" w:rsidRDefault="00916675" w:rsidP="009D27B2">
      <w:pPr>
        <w:pStyle w:val="23"/>
        <w:rPr>
          <w:color w:val="auto"/>
          <w:lang w:val="en-US"/>
        </w:rPr>
      </w:pPr>
    </w:p>
    <w:p w:rsidR="00916675" w:rsidRPr="00227C94" w:rsidRDefault="00916675" w:rsidP="009D27B2">
      <w:pPr>
        <w:pStyle w:val="23"/>
        <w:rPr>
          <w:color w:val="auto"/>
          <w:lang w:val="en-US"/>
        </w:rPr>
      </w:pPr>
      <w:r w:rsidRPr="00227C94">
        <w:rPr>
          <w:color w:val="auto"/>
          <w:lang w:val="en-US"/>
        </w:rPr>
        <w:t>Commercial legislation of Russian Federation, including tax legislation, is subject to varying interpretations and frequent changes. In addition, there is a risk of tax authorities making arbitrary judgments of business activities. If a particular treatment, based on management’s judgment of the Group’s business activities, was to be challenged by the tax authorities, the Group may be assessed additional taxes, penalties and interest.</w:t>
      </w:r>
    </w:p>
    <w:p w:rsidR="00916675" w:rsidRPr="00227C94" w:rsidRDefault="00916675" w:rsidP="009D27B2">
      <w:pPr>
        <w:pStyle w:val="23"/>
        <w:rPr>
          <w:color w:val="auto"/>
          <w:lang w:val="en-US"/>
        </w:rPr>
      </w:pPr>
    </w:p>
    <w:p w:rsidR="00916675" w:rsidRPr="00227C94" w:rsidRDefault="00916675" w:rsidP="009D27B2">
      <w:pPr>
        <w:pStyle w:val="23"/>
        <w:rPr>
          <w:color w:val="auto"/>
          <w:lang w:val="en-US"/>
        </w:rPr>
      </w:pPr>
      <w:r w:rsidRPr="00227C94">
        <w:rPr>
          <w:color w:val="auto"/>
          <w:lang w:val="en-US"/>
        </w:rPr>
        <w:t>Generally, taxpayers are subject to tax audits with respect to three calendar years preceding the year of the audit. However, completed audits do not exclude the possibility of subsequent additional tax audits performed by upper-level tax inspectorates reviewing the results of tax audits of their subordinate tax inspectorates. Also according to the clarification of the Russian Constitutional Court the statute of limitation for tax liabilities may be extended beyond the three year term set forth in the tax legislation, if a court determines that the taxpayers has obstructed or hindered a tax inspection.</w:t>
      </w:r>
    </w:p>
    <w:p w:rsidR="00916675" w:rsidRPr="00227C94" w:rsidRDefault="00916675" w:rsidP="009D27B2">
      <w:pPr>
        <w:pStyle w:val="23"/>
        <w:rPr>
          <w:color w:val="auto"/>
          <w:lang w:val="en-US"/>
        </w:rPr>
      </w:pPr>
    </w:p>
    <w:p w:rsidR="00916675" w:rsidRPr="00227C94" w:rsidRDefault="00916675" w:rsidP="009D27B2">
      <w:pPr>
        <w:pStyle w:val="23"/>
        <w:rPr>
          <w:color w:val="auto"/>
          <w:lang w:val="en-US"/>
        </w:rPr>
      </w:pPr>
      <w:r w:rsidRPr="00227C94">
        <w:rPr>
          <w:color w:val="auto"/>
          <w:lang w:val="en-US"/>
        </w:rPr>
        <w:t>The management of the Group is confident that applicable taxes have all been accrued and, consequently, creation of respective provisions is not required.</w:t>
      </w:r>
    </w:p>
    <w:p w:rsidR="00916675" w:rsidRPr="00227C94" w:rsidRDefault="00916675" w:rsidP="009D27B2">
      <w:pPr>
        <w:pStyle w:val="23"/>
        <w:rPr>
          <w:color w:val="auto"/>
          <w:lang w:val="en-US"/>
        </w:rPr>
      </w:pPr>
    </w:p>
    <w:p w:rsidR="00916675" w:rsidRPr="00227C94" w:rsidRDefault="00916675" w:rsidP="009D27B2">
      <w:pPr>
        <w:pStyle w:val="23"/>
        <w:rPr>
          <w:color w:val="auto"/>
          <w:lang w:val="en-US"/>
        </w:rPr>
      </w:pPr>
      <w:r w:rsidRPr="00227C94">
        <w:rPr>
          <w:color w:val="auto"/>
          <w:lang w:val="en-US"/>
        </w:rPr>
        <w:t>In terms of Russian tax legislation, authorities have a period of up to three years to re-open tax declarations for further inspection. Changes in the tax system that may be applied retrospectively by authorities could affect the Group’s previously submitted and assessed tax declarations.</w:t>
      </w:r>
    </w:p>
    <w:p w:rsidR="00916675" w:rsidRPr="00227C94" w:rsidRDefault="00916675" w:rsidP="009D27B2">
      <w:pPr>
        <w:pStyle w:val="23"/>
        <w:rPr>
          <w:color w:val="auto"/>
          <w:lang w:val="en-US"/>
        </w:rPr>
      </w:pPr>
    </w:p>
    <w:p w:rsidR="00916675" w:rsidRPr="00227C94" w:rsidRDefault="00916675" w:rsidP="009D27B2">
      <w:pPr>
        <w:pStyle w:val="23"/>
        <w:rPr>
          <w:color w:val="auto"/>
          <w:lang w:val="en-US"/>
        </w:rPr>
      </w:pPr>
      <w:r w:rsidRPr="00227C94">
        <w:rPr>
          <w:color w:val="auto"/>
          <w:spacing w:val="-3"/>
          <w:lang w:val="en-US"/>
        </w:rPr>
        <w:t xml:space="preserve">With regards to matters where practice concerning payment of taxes is unclear, management estimated </w:t>
      </w:r>
      <w:r w:rsidRPr="00227C94">
        <w:rPr>
          <w:color w:val="auto"/>
          <w:lang w:val="en-US"/>
        </w:rPr>
        <w:t>the there was no tax exposure at 30 June 2012 (USD2</w:t>
      </w:r>
      <w:proofErr w:type="gramStart"/>
      <w:r w:rsidRPr="00227C94">
        <w:rPr>
          <w:color w:val="auto"/>
          <w:lang w:val="en-US"/>
        </w:rPr>
        <w:t>,607</w:t>
      </w:r>
      <w:proofErr w:type="gramEnd"/>
      <w:r w:rsidRPr="00227C94">
        <w:rPr>
          <w:color w:val="auto"/>
          <w:lang w:val="en-US"/>
        </w:rPr>
        <w:t xml:space="preserve"> thousand at 31 December 2011 and USD3,842 thousand at 30 June 2011).</w:t>
      </w:r>
    </w:p>
    <w:p w:rsidR="009D27B2" w:rsidRPr="00227C94" w:rsidRDefault="009D27B2" w:rsidP="009D27B2">
      <w:pPr>
        <w:pStyle w:val="23"/>
        <w:rPr>
          <w:color w:val="auto"/>
          <w:lang w:val="en-US"/>
        </w:rPr>
      </w:pPr>
    </w:p>
    <w:p w:rsidR="009D27B2" w:rsidRPr="00227C94" w:rsidRDefault="009D27B2" w:rsidP="009D27B2">
      <w:pPr>
        <w:pStyle w:val="a4"/>
        <w:pageBreakBefore/>
        <w:tabs>
          <w:tab w:val="left" w:pos="476"/>
        </w:tabs>
        <w:rPr>
          <w:b/>
        </w:rPr>
      </w:pPr>
      <w:r w:rsidRPr="00227C94">
        <w:rPr>
          <w:b/>
        </w:rPr>
        <w:lastRenderedPageBreak/>
        <w:t>19.</w:t>
      </w:r>
      <w:r w:rsidRPr="00227C94">
        <w:rPr>
          <w:b/>
        </w:rPr>
        <w:tab/>
        <w:t>COMMITMENTS AND CONTINGENCIES (continued)</w:t>
      </w:r>
    </w:p>
    <w:p w:rsidR="00916675" w:rsidRPr="00227C94" w:rsidRDefault="00916675" w:rsidP="009D27B2">
      <w:pPr>
        <w:pStyle w:val="23"/>
        <w:rPr>
          <w:color w:val="auto"/>
        </w:rPr>
      </w:pPr>
    </w:p>
    <w:p w:rsidR="00916675" w:rsidRPr="00227C94" w:rsidRDefault="00916675" w:rsidP="009D27B2">
      <w:pPr>
        <w:pStyle w:val="31"/>
      </w:pPr>
      <w:r w:rsidRPr="00227C94">
        <w:t>Environmental matters</w:t>
      </w:r>
    </w:p>
    <w:p w:rsidR="00916675" w:rsidRPr="00227C94" w:rsidRDefault="00916675" w:rsidP="009D27B2">
      <w:pPr>
        <w:pStyle w:val="23"/>
        <w:rPr>
          <w:color w:val="auto"/>
        </w:rPr>
      </w:pPr>
    </w:p>
    <w:p w:rsidR="00916675" w:rsidRPr="00227C94" w:rsidRDefault="00916675" w:rsidP="009D27B2">
      <w:pPr>
        <w:pStyle w:val="23"/>
        <w:rPr>
          <w:color w:val="auto"/>
          <w:lang w:val="en-US"/>
        </w:rPr>
      </w:pPr>
      <w:r w:rsidRPr="00227C94">
        <w:rPr>
          <w:color w:val="auto"/>
          <w:lang w:val="en-US"/>
        </w:rPr>
        <w:t>The Group is subject to extensive federal, local environmental controls and regulations in the regions in which it operates. The Group’s operations involve the discharge of materials and contaminants into the environment, disturbance of land that could potentially impact on flora and fauna, and give rise to other environmental concerns.</w:t>
      </w:r>
    </w:p>
    <w:p w:rsidR="00916675" w:rsidRPr="00227C94" w:rsidRDefault="00916675" w:rsidP="009D27B2">
      <w:pPr>
        <w:pStyle w:val="23"/>
        <w:rPr>
          <w:color w:val="auto"/>
          <w:lang w:val="en-US"/>
        </w:rPr>
      </w:pPr>
    </w:p>
    <w:p w:rsidR="00916675" w:rsidRPr="00227C94" w:rsidRDefault="00916675" w:rsidP="009D27B2">
      <w:pPr>
        <w:pStyle w:val="23"/>
        <w:rPr>
          <w:color w:val="auto"/>
          <w:lang w:val="en-US"/>
        </w:rPr>
      </w:pPr>
      <w:r w:rsidRPr="00227C94">
        <w:rPr>
          <w:color w:val="auto"/>
          <w:lang w:val="en-US"/>
        </w:rPr>
        <w:t>The Group’s management believes that its mining and production technologies are in compliance with the existing environmental legislation in the countries in which it operates. However, environmental laws and regulations continue to evolve. The Group is unable to predict the timing or extent to which those laws and regulations may change. Such change, if it occurs, may require that the Group modernise technology to meet more stringent standards.</w:t>
      </w:r>
    </w:p>
    <w:p w:rsidR="00916675" w:rsidRPr="00227C94" w:rsidRDefault="00916675" w:rsidP="009D27B2">
      <w:pPr>
        <w:pStyle w:val="23"/>
        <w:rPr>
          <w:color w:val="auto"/>
          <w:lang w:val="en-US"/>
        </w:rPr>
      </w:pPr>
    </w:p>
    <w:p w:rsidR="00916675" w:rsidRPr="00227C94" w:rsidRDefault="00916675" w:rsidP="009D27B2">
      <w:pPr>
        <w:pStyle w:val="23"/>
        <w:rPr>
          <w:color w:val="auto"/>
          <w:lang w:val="en-US"/>
        </w:rPr>
      </w:pPr>
      <w:r w:rsidRPr="00227C94">
        <w:rPr>
          <w:color w:val="auto"/>
          <w:lang w:val="en-US"/>
        </w:rPr>
        <w:t>The Group is obliged in terms of various laws, mining licenses and ‘use of mineral rights’ agreements to decommission mine facilities on cessation of its mining operations and to restore and rehabilitate the environment. Management of the Group regularly reassesses site restoration and environmental obligations for its operations. Estimations are based on management’s understanding of the current legal requirements and the terms of the license agreements. Should the requirements of applicable environmental legislation change or be clarified, the Group may incur additional site restoration and environmental obligations.</w:t>
      </w:r>
    </w:p>
    <w:p w:rsidR="00916675" w:rsidRPr="00227C94" w:rsidRDefault="00916675" w:rsidP="009D27B2">
      <w:pPr>
        <w:pStyle w:val="23"/>
        <w:rPr>
          <w:color w:val="auto"/>
          <w:lang w:val="en-US"/>
        </w:rPr>
      </w:pPr>
    </w:p>
    <w:p w:rsidR="00916675" w:rsidRPr="00227C94" w:rsidRDefault="00916675" w:rsidP="009D27B2">
      <w:pPr>
        <w:pStyle w:val="23"/>
        <w:rPr>
          <w:color w:val="auto"/>
          <w:lang w:val="en-US"/>
        </w:rPr>
      </w:pPr>
    </w:p>
    <w:p w:rsidR="00916675" w:rsidRPr="00227C94" w:rsidRDefault="00916675" w:rsidP="009D27B2">
      <w:pPr>
        <w:pStyle w:val="1"/>
      </w:pPr>
      <w:r w:rsidRPr="00227C94">
        <w:t>subsequent EVENTS</w:t>
      </w:r>
    </w:p>
    <w:p w:rsidR="00916675" w:rsidRPr="00227C94" w:rsidRDefault="00916675" w:rsidP="009D27B2">
      <w:pPr>
        <w:pStyle w:val="23"/>
        <w:rPr>
          <w:color w:val="auto"/>
        </w:rPr>
      </w:pPr>
    </w:p>
    <w:p w:rsidR="00916675" w:rsidRPr="00227C94" w:rsidRDefault="00916675" w:rsidP="009D27B2">
      <w:pPr>
        <w:pStyle w:val="23"/>
        <w:rPr>
          <w:color w:val="auto"/>
          <w:spacing w:val="-2"/>
          <w:lang w:val="en-US"/>
        </w:rPr>
      </w:pPr>
      <w:r w:rsidRPr="00227C94">
        <w:rPr>
          <w:color w:val="auto"/>
          <w:lang w:val="en-US"/>
        </w:rPr>
        <w:t>On 25 July 2012, OJSC “Matrosov Mine”, a subsidiary of the Company, entered into a finance agreement with VTB Bank for a total amount of up to RUB5 billion (approximately USD152 million). The facility will be utilised in the form of letters of credit issue</w:t>
      </w:r>
      <w:r w:rsidR="009D27B2" w:rsidRPr="00227C94">
        <w:rPr>
          <w:color w:val="auto"/>
          <w:lang w:val="en-US"/>
        </w:rPr>
        <w:t>d by VTB Bank on the subsidiary’</w:t>
      </w:r>
      <w:r w:rsidRPr="00227C94">
        <w:rPr>
          <w:color w:val="auto"/>
          <w:lang w:val="en-US"/>
        </w:rPr>
        <w:t xml:space="preserve">s request, with the repayment period not later than 5 years after the drawdown date at an interest rate </w:t>
      </w:r>
      <w:r w:rsidRPr="00227C94">
        <w:rPr>
          <w:color w:val="auto"/>
          <w:spacing w:val="-2"/>
          <w:lang w:val="en-US"/>
        </w:rPr>
        <w:t>of 10% per year. The facility will be used to support the purchase of equipment for the Natalka project. CJSC “Gold Mining Company Polyus” guaranteed liabilities of the subsidiary under all the finance agreements.</w:t>
      </w:r>
    </w:p>
    <w:p w:rsidR="00916675" w:rsidRPr="00227C94" w:rsidRDefault="00916675" w:rsidP="009D27B2">
      <w:pPr>
        <w:pStyle w:val="23"/>
        <w:rPr>
          <w:color w:val="auto"/>
          <w:lang w:val="en-US"/>
        </w:rPr>
      </w:pPr>
    </w:p>
    <w:p w:rsidR="00916675" w:rsidRPr="00227C94" w:rsidRDefault="00916675" w:rsidP="009D27B2">
      <w:pPr>
        <w:pStyle w:val="23"/>
        <w:rPr>
          <w:color w:val="auto"/>
          <w:lang w:val="en-US"/>
        </w:rPr>
      </w:pPr>
      <w:r w:rsidRPr="00227C94">
        <w:rPr>
          <w:color w:val="auto"/>
          <w:lang w:val="en-US"/>
        </w:rPr>
        <w:t>Certain conditions of the SPA with AltynGroup Holdings (see note 19) were not met and negotiations are on-going.</w:t>
      </w:r>
    </w:p>
    <w:p w:rsidR="00916675" w:rsidRPr="00227C94" w:rsidRDefault="00916675" w:rsidP="009D27B2">
      <w:pPr>
        <w:pStyle w:val="23"/>
        <w:rPr>
          <w:color w:val="auto"/>
          <w:lang w:val="en-US"/>
        </w:rPr>
      </w:pPr>
    </w:p>
    <w:p w:rsidR="00916675" w:rsidRPr="00227C94" w:rsidRDefault="00916675" w:rsidP="009D27B2">
      <w:pPr>
        <w:pStyle w:val="23"/>
        <w:rPr>
          <w:color w:val="auto"/>
          <w:lang w:val="en-US"/>
        </w:rPr>
      </w:pPr>
      <w:r w:rsidRPr="00227C94">
        <w:rPr>
          <w:color w:val="auto"/>
          <w:lang w:val="en-US"/>
        </w:rPr>
        <w:t>With the exception of the above there have been no material reportable events since 30 June 2012.</w:t>
      </w:r>
    </w:p>
    <w:p w:rsidR="00916675" w:rsidRPr="00227C94" w:rsidRDefault="00916675" w:rsidP="009D27B2">
      <w:pPr>
        <w:pStyle w:val="23"/>
        <w:rPr>
          <w:color w:val="auto"/>
          <w:lang w:val="en-US"/>
        </w:rPr>
      </w:pPr>
    </w:p>
    <w:p w:rsidR="009D27B2" w:rsidRPr="00227C94" w:rsidRDefault="009D27B2" w:rsidP="009D27B2">
      <w:pPr>
        <w:pStyle w:val="23"/>
        <w:rPr>
          <w:color w:val="auto"/>
          <w:lang w:val="en-US"/>
        </w:rPr>
      </w:pPr>
    </w:p>
    <w:p w:rsidR="00916675" w:rsidRPr="00227C94" w:rsidRDefault="009D27B2" w:rsidP="00916675">
      <w:pPr>
        <w:pStyle w:val="1"/>
        <w:rPr>
          <w:lang w:val="en-US"/>
        </w:rPr>
      </w:pPr>
      <w:r w:rsidRPr="00227C94">
        <w:rPr>
          <w:lang w:val="en-US"/>
        </w:rPr>
        <w:br w:type="page"/>
      </w:r>
      <w:r w:rsidR="00916675" w:rsidRPr="00227C94">
        <w:rPr>
          <w:lang w:val="en-US"/>
        </w:rPr>
        <w:lastRenderedPageBreak/>
        <w:t>INVESTMENTS IN SIGNIFICANT SUBSIDIARIES</w:t>
      </w:r>
    </w:p>
    <w:p w:rsidR="00916675" w:rsidRPr="00227C94" w:rsidRDefault="00916675" w:rsidP="009D27B2">
      <w:pPr>
        <w:pStyle w:val="23"/>
        <w:rPr>
          <w:color w:val="auto"/>
        </w:rPr>
      </w:pPr>
    </w:p>
    <w:tbl>
      <w:tblPr>
        <w:tblW w:w="8935" w:type="dxa"/>
        <w:tblInd w:w="476" w:type="dxa"/>
        <w:tblLayout w:type="fixed"/>
        <w:tblCellMar>
          <w:left w:w="0" w:type="dxa"/>
          <w:right w:w="0" w:type="dxa"/>
        </w:tblCellMar>
        <w:tblLook w:val="0000" w:firstRow="0" w:lastRow="0" w:firstColumn="0" w:lastColumn="0" w:noHBand="0" w:noVBand="0"/>
      </w:tblPr>
      <w:tblGrid>
        <w:gridCol w:w="2367"/>
        <w:gridCol w:w="1678"/>
        <w:gridCol w:w="1811"/>
        <w:gridCol w:w="940"/>
        <w:gridCol w:w="110"/>
        <w:gridCol w:w="954"/>
        <w:gridCol w:w="83"/>
        <w:gridCol w:w="992"/>
      </w:tblGrid>
      <w:tr w:rsidR="009D27B2" w:rsidRPr="00227C94" w:rsidTr="009D27B2">
        <w:trPr>
          <w:cantSplit/>
        </w:trPr>
        <w:tc>
          <w:tcPr>
            <w:tcW w:w="2367" w:type="dxa"/>
            <w:vAlign w:val="bottom"/>
          </w:tcPr>
          <w:p w:rsidR="009D27B2" w:rsidRPr="00227C94" w:rsidRDefault="009D27B2" w:rsidP="009D27B2">
            <w:pPr>
              <w:pStyle w:val="tblHeaderText"/>
              <w:jc w:val="left"/>
              <w:rPr>
                <w:sz w:val="16"/>
              </w:rPr>
            </w:pPr>
          </w:p>
        </w:tc>
        <w:tc>
          <w:tcPr>
            <w:tcW w:w="1678" w:type="dxa"/>
            <w:vAlign w:val="bottom"/>
          </w:tcPr>
          <w:p w:rsidR="009D27B2" w:rsidRPr="00227C94" w:rsidRDefault="009D27B2" w:rsidP="009D27B2">
            <w:pPr>
              <w:pStyle w:val="tblHeaderText"/>
              <w:rPr>
                <w:sz w:val="16"/>
              </w:rPr>
            </w:pPr>
          </w:p>
        </w:tc>
        <w:tc>
          <w:tcPr>
            <w:tcW w:w="1811" w:type="dxa"/>
            <w:tcBorders>
              <w:left w:val="nil"/>
            </w:tcBorders>
            <w:vAlign w:val="bottom"/>
          </w:tcPr>
          <w:p w:rsidR="009D27B2" w:rsidRPr="00227C94" w:rsidRDefault="009D27B2" w:rsidP="009D27B2">
            <w:pPr>
              <w:pStyle w:val="tblHeaderText"/>
              <w:rPr>
                <w:sz w:val="16"/>
              </w:rPr>
            </w:pPr>
          </w:p>
        </w:tc>
        <w:tc>
          <w:tcPr>
            <w:tcW w:w="3079" w:type="dxa"/>
            <w:gridSpan w:val="5"/>
            <w:tcBorders>
              <w:bottom w:val="single" w:sz="6" w:space="0" w:color="auto"/>
            </w:tcBorders>
            <w:shd w:val="clear" w:color="auto" w:fill="auto"/>
            <w:vAlign w:val="bottom"/>
          </w:tcPr>
          <w:p w:rsidR="009D27B2" w:rsidRPr="00227C94" w:rsidRDefault="009D27B2" w:rsidP="009D27B2">
            <w:pPr>
              <w:pStyle w:val="tblHeaderText"/>
              <w:rPr>
                <w:sz w:val="16"/>
              </w:rPr>
            </w:pPr>
            <w:r w:rsidRPr="00227C94">
              <w:rPr>
                <w:sz w:val="16"/>
              </w:rPr>
              <w:t>Effective % held</w:t>
            </w:r>
            <w:r w:rsidRPr="00227C94">
              <w:rPr>
                <w:rFonts w:ascii="Arial Bold" w:hAnsi="Arial Bold"/>
                <w:sz w:val="16"/>
                <w:vertAlign w:val="superscript"/>
              </w:rPr>
              <w:t>1</w:t>
            </w:r>
          </w:p>
        </w:tc>
      </w:tr>
      <w:tr w:rsidR="009D27B2" w:rsidRPr="00227C94" w:rsidTr="00A701F4">
        <w:trPr>
          <w:cantSplit/>
        </w:trPr>
        <w:tc>
          <w:tcPr>
            <w:tcW w:w="2367" w:type="dxa"/>
            <w:vAlign w:val="bottom"/>
          </w:tcPr>
          <w:p w:rsidR="009D27B2" w:rsidRPr="00227C94" w:rsidRDefault="009D27B2" w:rsidP="00A701F4">
            <w:pPr>
              <w:pStyle w:val="tblHeaderText"/>
              <w:jc w:val="left"/>
              <w:rPr>
                <w:sz w:val="16"/>
              </w:rPr>
            </w:pPr>
            <w:r w:rsidRPr="00227C94">
              <w:rPr>
                <w:sz w:val="16"/>
              </w:rPr>
              <w:t>Subsidiaries</w:t>
            </w:r>
          </w:p>
        </w:tc>
        <w:tc>
          <w:tcPr>
            <w:tcW w:w="1678" w:type="dxa"/>
            <w:vAlign w:val="bottom"/>
          </w:tcPr>
          <w:p w:rsidR="009D27B2" w:rsidRPr="00227C94" w:rsidRDefault="009D27B2" w:rsidP="00A701F4">
            <w:pPr>
              <w:pStyle w:val="tblHeaderText"/>
              <w:rPr>
                <w:sz w:val="16"/>
              </w:rPr>
            </w:pPr>
            <w:r w:rsidRPr="00227C94">
              <w:rPr>
                <w:sz w:val="16"/>
              </w:rPr>
              <w:t>Incorporation</w:t>
            </w:r>
          </w:p>
        </w:tc>
        <w:tc>
          <w:tcPr>
            <w:tcW w:w="1811" w:type="dxa"/>
            <w:tcBorders>
              <w:left w:val="nil"/>
            </w:tcBorders>
            <w:vAlign w:val="bottom"/>
          </w:tcPr>
          <w:p w:rsidR="009D27B2" w:rsidRPr="00227C94" w:rsidRDefault="009D27B2" w:rsidP="00A701F4">
            <w:pPr>
              <w:pStyle w:val="tblHeaderText"/>
              <w:rPr>
                <w:sz w:val="16"/>
              </w:rPr>
            </w:pPr>
            <w:r w:rsidRPr="00227C94">
              <w:rPr>
                <w:sz w:val="16"/>
              </w:rPr>
              <w:t>Nature of business</w:t>
            </w:r>
          </w:p>
        </w:tc>
        <w:tc>
          <w:tcPr>
            <w:tcW w:w="940" w:type="dxa"/>
            <w:tcBorders>
              <w:top w:val="single" w:sz="6" w:space="0" w:color="auto"/>
              <w:bottom w:val="single" w:sz="6" w:space="0" w:color="auto"/>
            </w:tcBorders>
            <w:shd w:val="clear" w:color="auto" w:fill="auto"/>
            <w:vAlign w:val="bottom"/>
          </w:tcPr>
          <w:p w:rsidR="009D27B2" w:rsidRPr="00227C94" w:rsidRDefault="009D27B2" w:rsidP="00A701F4">
            <w:pPr>
              <w:pStyle w:val="tblHeaderText"/>
              <w:rPr>
                <w:sz w:val="16"/>
              </w:rPr>
            </w:pPr>
            <w:r w:rsidRPr="00227C94">
              <w:rPr>
                <w:sz w:val="16"/>
              </w:rPr>
              <w:t>30 June</w:t>
            </w:r>
          </w:p>
          <w:p w:rsidR="009D27B2" w:rsidRPr="00227C94" w:rsidRDefault="009D27B2" w:rsidP="00A701F4">
            <w:pPr>
              <w:pStyle w:val="tblHeaderText"/>
              <w:rPr>
                <w:sz w:val="16"/>
              </w:rPr>
            </w:pPr>
            <w:r w:rsidRPr="00227C94">
              <w:rPr>
                <w:sz w:val="16"/>
              </w:rPr>
              <w:t>2012</w:t>
            </w:r>
          </w:p>
        </w:tc>
        <w:tc>
          <w:tcPr>
            <w:tcW w:w="110" w:type="dxa"/>
            <w:tcBorders>
              <w:top w:val="single" w:sz="6" w:space="0" w:color="auto"/>
            </w:tcBorders>
            <w:shd w:val="clear" w:color="auto" w:fill="auto"/>
          </w:tcPr>
          <w:p w:rsidR="009D27B2" w:rsidRPr="00227C94" w:rsidRDefault="009D27B2" w:rsidP="00A701F4">
            <w:pPr>
              <w:pStyle w:val="tblHeaderText"/>
              <w:rPr>
                <w:sz w:val="16"/>
              </w:rPr>
            </w:pPr>
          </w:p>
        </w:tc>
        <w:tc>
          <w:tcPr>
            <w:tcW w:w="954" w:type="dxa"/>
            <w:tcBorders>
              <w:top w:val="single" w:sz="6" w:space="0" w:color="auto"/>
              <w:bottom w:val="single" w:sz="6" w:space="0" w:color="auto"/>
            </w:tcBorders>
            <w:shd w:val="clear" w:color="auto" w:fill="auto"/>
            <w:vAlign w:val="bottom"/>
          </w:tcPr>
          <w:p w:rsidR="009D27B2" w:rsidRPr="00227C94" w:rsidRDefault="009D27B2" w:rsidP="00A701F4">
            <w:pPr>
              <w:pStyle w:val="tblHeaderText"/>
              <w:rPr>
                <w:sz w:val="16"/>
              </w:rPr>
            </w:pPr>
            <w:r w:rsidRPr="00227C94">
              <w:rPr>
                <w:sz w:val="16"/>
              </w:rPr>
              <w:t>30 June</w:t>
            </w:r>
          </w:p>
          <w:p w:rsidR="009D27B2" w:rsidRPr="00227C94" w:rsidRDefault="009D27B2" w:rsidP="00A701F4">
            <w:pPr>
              <w:pStyle w:val="tblHeaderText"/>
              <w:rPr>
                <w:sz w:val="16"/>
              </w:rPr>
            </w:pPr>
            <w:r w:rsidRPr="00227C94">
              <w:rPr>
                <w:sz w:val="16"/>
              </w:rPr>
              <w:t>2011</w:t>
            </w:r>
          </w:p>
        </w:tc>
        <w:tc>
          <w:tcPr>
            <w:tcW w:w="83" w:type="dxa"/>
            <w:tcBorders>
              <w:top w:val="single" w:sz="6" w:space="0" w:color="auto"/>
            </w:tcBorders>
            <w:shd w:val="clear" w:color="auto" w:fill="auto"/>
          </w:tcPr>
          <w:p w:rsidR="009D27B2" w:rsidRPr="00227C94" w:rsidRDefault="009D27B2" w:rsidP="00A701F4">
            <w:pPr>
              <w:pStyle w:val="tblHeaderText"/>
              <w:rPr>
                <w:sz w:val="16"/>
              </w:rPr>
            </w:pPr>
          </w:p>
        </w:tc>
        <w:tc>
          <w:tcPr>
            <w:tcW w:w="992" w:type="dxa"/>
            <w:tcBorders>
              <w:top w:val="single" w:sz="6" w:space="0" w:color="auto"/>
              <w:bottom w:val="single" w:sz="6" w:space="0" w:color="auto"/>
            </w:tcBorders>
            <w:shd w:val="clear" w:color="auto" w:fill="auto"/>
          </w:tcPr>
          <w:p w:rsidR="009D27B2" w:rsidRPr="00227C94" w:rsidRDefault="009D27B2" w:rsidP="00A701F4">
            <w:pPr>
              <w:pStyle w:val="tblHeaderText"/>
              <w:rPr>
                <w:sz w:val="16"/>
              </w:rPr>
            </w:pPr>
            <w:r w:rsidRPr="00227C94">
              <w:rPr>
                <w:sz w:val="16"/>
              </w:rPr>
              <w:t>31 December 2011</w:t>
            </w:r>
          </w:p>
        </w:tc>
      </w:tr>
      <w:tr w:rsidR="009D27B2" w:rsidRPr="00227C94" w:rsidTr="009D27B2">
        <w:trPr>
          <w:cantSplit/>
        </w:trPr>
        <w:tc>
          <w:tcPr>
            <w:tcW w:w="2367" w:type="dxa"/>
          </w:tcPr>
          <w:p w:rsidR="009D27B2" w:rsidRPr="00227C94" w:rsidRDefault="009D27B2" w:rsidP="009D27B2">
            <w:pPr>
              <w:pStyle w:val="tblText02"/>
              <w:rPr>
                <w:sz w:val="16"/>
              </w:rPr>
            </w:pPr>
          </w:p>
        </w:tc>
        <w:tc>
          <w:tcPr>
            <w:tcW w:w="1678" w:type="dxa"/>
            <w:vAlign w:val="bottom"/>
          </w:tcPr>
          <w:p w:rsidR="009D27B2" w:rsidRPr="00227C94" w:rsidRDefault="009D27B2" w:rsidP="009D27B2">
            <w:pPr>
              <w:pStyle w:val="tblNumber01"/>
              <w:rPr>
                <w:sz w:val="16"/>
              </w:rPr>
            </w:pPr>
          </w:p>
        </w:tc>
        <w:tc>
          <w:tcPr>
            <w:tcW w:w="1811" w:type="dxa"/>
            <w:tcBorders>
              <w:left w:val="nil"/>
            </w:tcBorders>
            <w:vAlign w:val="bottom"/>
          </w:tcPr>
          <w:p w:rsidR="009D27B2" w:rsidRPr="00227C94" w:rsidRDefault="009D27B2" w:rsidP="009D27B2">
            <w:pPr>
              <w:pStyle w:val="tblNumber01"/>
              <w:rPr>
                <w:sz w:val="16"/>
              </w:rPr>
            </w:pPr>
          </w:p>
        </w:tc>
        <w:tc>
          <w:tcPr>
            <w:tcW w:w="940" w:type="dxa"/>
            <w:tcBorders>
              <w:top w:val="single" w:sz="6" w:space="0" w:color="auto"/>
            </w:tcBorders>
            <w:shd w:val="clear" w:color="auto" w:fill="auto"/>
            <w:vAlign w:val="bottom"/>
          </w:tcPr>
          <w:p w:rsidR="009D27B2" w:rsidRPr="00227C94" w:rsidRDefault="009D27B2" w:rsidP="009D27B2">
            <w:pPr>
              <w:pStyle w:val="tblNumber01"/>
              <w:rPr>
                <w:sz w:val="16"/>
              </w:rPr>
            </w:pPr>
          </w:p>
        </w:tc>
        <w:tc>
          <w:tcPr>
            <w:tcW w:w="110" w:type="dxa"/>
            <w:vAlign w:val="bottom"/>
          </w:tcPr>
          <w:p w:rsidR="009D27B2" w:rsidRPr="00227C94" w:rsidRDefault="009D27B2" w:rsidP="009D27B2">
            <w:pPr>
              <w:pStyle w:val="tblNumber01"/>
              <w:rPr>
                <w:sz w:val="16"/>
              </w:rPr>
            </w:pPr>
          </w:p>
        </w:tc>
        <w:tc>
          <w:tcPr>
            <w:tcW w:w="954" w:type="dxa"/>
            <w:tcBorders>
              <w:top w:val="single" w:sz="6" w:space="0" w:color="auto"/>
            </w:tcBorders>
            <w:shd w:val="clear" w:color="auto" w:fill="auto"/>
            <w:vAlign w:val="bottom"/>
          </w:tcPr>
          <w:p w:rsidR="009D27B2" w:rsidRPr="00227C94" w:rsidRDefault="009D27B2" w:rsidP="009D27B2">
            <w:pPr>
              <w:pStyle w:val="tblNumber01"/>
              <w:rPr>
                <w:sz w:val="16"/>
              </w:rPr>
            </w:pPr>
          </w:p>
        </w:tc>
        <w:tc>
          <w:tcPr>
            <w:tcW w:w="83" w:type="dxa"/>
            <w:vAlign w:val="bottom"/>
          </w:tcPr>
          <w:p w:rsidR="009D27B2" w:rsidRPr="00227C94" w:rsidRDefault="009D27B2" w:rsidP="009D27B2">
            <w:pPr>
              <w:pStyle w:val="tblNumber01"/>
              <w:rPr>
                <w:sz w:val="16"/>
              </w:rPr>
            </w:pPr>
          </w:p>
        </w:tc>
        <w:tc>
          <w:tcPr>
            <w:tcW w:w="992" w:type="dxa"/>
            <w:tcBorders>
              <w:top w:val="single" w:sz="6" w:space="0" w:color="auto"/>
            </w:tcBorders>
            <w:shd w:val="clear" w:color="auto" w:fill="auto"/>
            <w:vAlign w:val="bottom"/>
          </w:tcPr>
          <w:p w:rsidR="009D27B2" w:rsidRPr="00227C94" w:rsidRDefault="009D27B2" w:rsidP="009D27B2">
            <w:pPr>
              <w:pStyle w:val="tblNumber01"/>
              <w:rPr>
                <w:sz w:val="16"/>
              </w:rPr>
            </w:pPr>
          </w:p>
        </w:tc>
      </w:tr>
      <w:tr w:rsidR="009D27B2" w:rsidRPr="00227C94" w:rsidTr="009D27B2">
        <w:trPr>
          <w:cantSplit/>
        </w:trPr>
        <w:tc>
          <w:tcPr>
            <w:tcW w:w="2367" w:type="dxa"/>
          </w:tcPr>
          <w:p w:rsidR="009D27B2" w:rsidRPr="00227C94" w:rsidRDefault="009D27B2" w:rsidP="009D27B2">
            <w:pPr>
              <w:pStyle w:val="tblText02"/>
              <w:rPr>
                <w:sz w:val="16"/>
                <w:lang w:val="en-GB"/>
              </w:rPr>
            </w:pPr>
            <w:r w:rsidRPr="00227C94">
              <w:rPr>
                <w:sz w:val="16"/>
              </w:rPr>
              <w:t>OJSC “Polyus Gold”</w:t>
            </w:r>
            <w:r w:rsidR="00770124" w:rsidRPr="00227C94">
              <w:rPr>
                <w:rFonts w:ascii="Arial Bold" w:hAnsi="Arial Bold"/>
                <w:sz w:val="16"/>
                <w:vertAlign w:val="superscript"/>
                <w:lang w:val="en-GB"/>
              </w:rPr>
              <w:t>2</w:t>
            </w:r>
          </w:p>
        </w:tc>
        <w:tc>
          <w:tcPr>
            <w:tcW w:w="1678" w:type="dxa"/>
          </w:tcPr>
          <w:p w:rsidR="009D27B2" w:rsidRPr="00227C94" w:rsidRDefault="009D27B2" w:rsidP="009D27B2">
            <w:pPr>
              <w:pStyle w:val="tblText02"/>
              <w:rPr>
                <w:sz w:val="16"/>
              </w:rPr>
            </w:pPr>
            <w:r w:rsidRPr="00227C94">
              <w:rPr>
                <w:sz w:val="16"/>
              </w:rPr>
              <w:t>Russian Federation</w:t>
            </w:r>
          </w:p>
        </w:tc>
        <w:tc>
          <w:tcPr>
            <w:tcW w:w="1811" w:type="dxa"/>
            <w:tcBorders>
              <w:left w:val="nil"/>
            </w:tcBorders>
          </w:tcPr>
          <w:p w:rsidR="009D27B2" w:rsidRPr="00227C94" w:rsidRDefault="009D27B2" w:rsidP="009D27B2">
            <w:pPr>
              <w:pStyle w:val="tblText02"/>
              <w:rPr>
                <w:sz w:val="16"/>
              </w:rPr>
            </w:pPr>
            <w:r w:rsidRPr="00227C94">
              <w:rPr>
                <w:sz w:val="16"/>
              </w:rPr>
              <w:t>Management company</w:t>
            </w:r>
          </w:p>
        </w:tc>
        <w:tc>
          <w:tcPr>
            <w:tcW w:w="940" w:type="dxa"/>
            <w:vAlign w:val="bottom"/>
          </w:tcPr>
          <w:p w:rsidR="009D27B2" w:rsidRPr="00227C94" w:rsidRDefault="009D27B2" w:rsidP="009D27B2">
            <w:pPr>
              <w:pStyle w:val="tblNumber01"/>
              <w:rPr>
                <w:sz w:val="16"/>
              </w:rPr>
            </w:pPr>
            <w:r w:rsidRPr="00227C94">
              <w:rPr>
                <w:sz w:val="16"/>
              </w:rPr>
              <w:t>95</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89</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95</w:t>
            </w:r>
          </w:p>
        </w:tc>
      </w:tr>
      <w:tr w:rsidR="009D27B2" w:rsidRPr="00227C94" w:rsidTr="009D27B2">
        <w:trPr>
          <w:cantSplit/>
        </w:trPr>
        <w:tc>
          <w:tcPr>
            <w:tcW w:w="2367" w:type="dxa"/>
          </w:tcPr>
          <w:p w:rsidR="009D27B2" w:rsidRPr="00227C94" w:rsidRDefault="009D27B2" w:rsidP="009D27B2">
            <w:pPr>
              <w:pStyle w:val="tblText02"/>
              <w:rPr>
                <w:sz w:val="16"/>
                <w:lang w:val="en-US"/>
              </w:rPr>
            </w:pPr>
            <w:r w:rsidRPr="00227C94">
              <w:rPr>
                <w:sz w:val="16"/>
                <w:lang w:val="en-US"/>
              </w:rPr>
              <w:t>CJSC “Gold Mining Company Polyus”</w:t>
            </w:r>
          </w:p>
        </w:tc>
        <w:tc>
          <w:tcPr>
            <w:tcW w:w="1678" w:type="dxa"/>
          </w:tcPr>
          <w:p w:rsidR="009D27B2" w:rsidRPr="00227C94" w:rsidRDefault="009D27B2" w:rsidP="009D27B2">
            <w:pPr>
              <w:pStyle w:val="tblText02"/>
              <w:rPr>
                <w:sz w:val="16"/>
              </w:rPr>
            </w:pPr>
            <w:r w:rsidRPr="00227C94">
              <w:rPr>
                <w:sz w:val="16"/>
              </w:rPr>
              <w:t>Russian Federation</w:t>
            </w:r>
          </w:p>
        </w:tc>
        <w:tc>
          <w:tcPr>
            <w:tcW w:w="1811" w:type="dxa"/>
            <w:tcBorders>
              <w:left w:val="nil"/>
            </w:tcBorders>
          </w:tcPr>
          <w:p w:rsidR="009D27B2" w:rsidRPr="00227C94" w:rsidRDefault="009D27B2" w:rsidP="009D27B2">
            <w:pPr>
              <w:pStyle w:val="tblText02"/>
              <w:rPr>
                <w:sz w:val="16"/>
              </w:rPr>
            </w:pPr>
            <w:r w:rsidRPr="00227C94">
              <w:rPr>
                <w:sz w:val="16"/>
              </w:rPr>
              <w:t>Mining</w:t>
            </w:r>
          </w:p>
        </w:tc>
        <w:tc>
          <w:tcPr>
            <w:tcW w:w="940" w:type="dxa"/>
            <w:vAlign w:val="bottom"/>
          </w:tcPr>
          <w:p w:rsidR="009D27B2" w:rsidRPr="00227C94" w:rsidRDefault="009D27B2" w:rsidP="009D27B2">
            <w:pPr>
              <w:pStyle w:val="tblNumber01"/>
              <w:rPr>
                <w:sz w:val="16"/>
              </w:rPr>
            </w:pPr>
            <w:r w:rsidRPr="00227C94">
              <w:rPr>
                <w:sz w:val="16"/>
              </w:rPr>
              <w:t>95</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89</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95</w:t>
            </w:r>
          </w:p>
        </w:tc>
      </w:tr>
      <w:tr w:rsidR="009D27B2" w:rsidRPr="00227C94" w:rsidTr="009D27B2">
        <w:trPr>
          <w:cantSplit/>
        </w:trPr>
        <w:tc>
          <w:tcPr>
            <w:tcW w:w="2367" w:type="dxa"/>
          </w:tcPr>
          <w:p w:rsidR="009D27B2" w:rsidRPr="00227C94" w:rsidRDefault="009D27B2" w:rsidP="009D27B2">
            <w:pPr>
              <w:pStyle w:val="tblText02"/>
              <w:rPr>
                <w:sz w:val="16"/>
              </w:rPr>
            </w:pPr>
            <w:r w:rsidRPr="00227C94">
              <w:rPr>
                <w:sz w:val="16"/>
              </w:rPr>
              <w:t>OJSC “Aldanzoloto GRK”</w:t>
            </w:r>
          </w:p>
        </w:tc>
        <w:tc>
          <w:tcPr>
            <w:tcW w:w="1678" w:type="dxa"/>
          </w:tcPr>
          <w:p w:rsidR="009D27B2" w:rsidRPr="00227C94" w:rsidRDefault="009D27B2" w:rsidP="009D27B2">
            <w:pPr>
              <w:pStyle w:val="tblText02"/>
              <w:rPr>
                <w:sz w:val="16"/>
              </w:rPr>
            </w:pPr>
            <w:r w:rsidRPr="00227C94">
              <w:rPr>
                <w:sz w:val="16"/>
              </w:rPr>
              <w:t>Russian Federation</w:t>
            </w:r>
          </w:p>
        </w:tc>
        <w:tc>
          <w:tcPr>
            <w:tcW w:w="1811" w:type="dxa"/>
            <w:tcBorders>
              <w:left w:val="nil"/>
            </w:tcBorders>
          </w:tcPr>
          <w:p w:rsidR="009D27B2" w:rsidRPr="00227C94" w:rsidRDefault="009D27B2" w:rsidP="009D27B2">
            <w:pPr>
              <w:pStyle w:val="tblText02"/>
              <w:rPr>
                <w:sz w:val="16"/>
              </w:rPr>
            </w:pPr>
            <w:r w:rsidRPr="00227C94">
              <w:rPr>
                <w:sz w:val="16"/>
              </w:rPr>
              <w:t>Mining</w:t>
            </w:r>
          </w:p>
        </w:tc>
        <w:tc>
          <w:tcPr>
            <w:tcW w:w="940" w:type="dxa"/>
            <w:vAlign w:val="bottom"/>
          </w:tcPr>
          <w:p w:rsidR="009D27B2" w:rsidRPr="00227C94" w:rsidRDefault="009D27B2" w:rsidP="009D27B2">
            <w:pPr>
              <w:pStyle w:val="tblNumber01"/>
              <w:rPr>
                <w:sz w:val="16"/>
              </w:rPr>
            </w:pPr>
            <w:r w:rsidRPr="00227C94">
              <w:rPr>
                <w:sz w:val="16"/>
              </w:rPr>
              <w:t>95</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89</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95</w:t>
            </w:r>
          </w:p>
        </w:tc>
      </w:tr>
      <w:tr w:rsidR="009D27B2" w:rsidRPr="00227C94" w:rsidTr="009D27B2">
        <w:trPr>
          <w:cantSplit/>
        </w:trPr>
        <w:tc>
          <w:tcPr>
            <w:tcW w:w="2367" w:type="dxa"/>
          </w:tcPr>
          <w:p w:rsidR="009D27B2" w:rsidRPr="00227C94" w:rsidRDefault="009D27B2" w:rsidP="009D27B2">
            <w:pPr>
              <w:pStyle w:val="tblText02"/>
              <w:rPr>
                <w:sz w:val="16"/>
              </w:rPr>
            </w:pPr>
            <w:r w:rsidRPr="00227C94">
              <w:rPr>
                <w:sz w:val="16"/>
              </w:rPr>
              <w:t>OJSC “Lenzoloto”</w:t>
            </w:r>
          </w:p>
        </w:tc>
        <w:tc>
          <w:tcPr>
            <w:tcW w:w="1678" w:type="dxa"/>
          </w:tcPr>
          <w:p w:rsidR="009D27B2" w:rsidRPr="00227C94" w:rsidRDefault="009D27B2" w:rsidP="009D27B2">
            <w:pPr>
              <w:pStyle w:val="tblText02"/>
              <w:rPr>
                <w:sz w:val="16"/>
              </w:rPr>
            </w:pPr>
            <w:r w:rsidRPr="00227C94">
              <w:rPr>
                <w:sz w:val="16"/>
              </w:rPr>
              <w:t>Russian Federation</w:t>
            </w:r>
          </w:p>
        </w:tc>
        <w:tc>
          <w:tcPr>
            <w:tcW w:w="1811" w:type="dxa"/>
            <w:tcBorders>
              <w:left w:val="nil"/>
            </w:tcBorders>
          </w:tcPr>
          <w:p w:rsidR="009D27B2" w:rsidRPr="00227C94" w:rsidRDefault="009D27B2" w:rsidP="009D27B2">
            <w:pPr>
              <w:pStyle w:val="tblText02"/>
              <w:rPr>
                <w:sz w:val="16"/>
              </w:rPr>
            </w:pPr>
            <w:r w:rsidRPr="00227C94">
              <w:rPr>
                <w:sz w:val="16"/>
              </w:rPr>
              <w:t>Market agent</w:t>
            </w:r>
          </w:p>
        </w:tc>
        <w:tc>
          <w:tcPr>
            <w:tcW w:w="940" w:type="dxa"/>
            <w:vAlign w:val="bottom"/>
          </w:tcPr>
          <w:p w:rsidR="009D27B2" w:rsidRPr="00227C94" w:rsidRDefault="009D27B2" w:rsidP="009D27B2">
            <w:pPr>
              <w:pStyle w:val="tblNumber01"/>
              <w:rPr>
                <w:sz w:val="16"/>
              </w:rPr>
            </w:pPr>
            <w:r w:rsidRPr="00227C94">
              <w:rPr>
                <w:sz w:val="16"/>
              </w:rPr>
              <w:t>61</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57</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61</w:t>
            </w:r>
          </w:p>
        </w:tc>
      </w:tr>
      <w:tr w:rsidR="009D27B2" w:rsidRPr="00227C94" w:rsidTr="009D27B2">
        <w:trPr>
          <w:cantSplit/>
        </w:trPr>
        <w:tc>
          <w:tcPr>
            <w:tcW w:w="2367" w:type="dxa"/>
          </w:tcPr>
          <w:p w:rsidR="009D27B2" w:rsidRPr="00227C94" w:rsidRDefault="009D27B2" w:rsidP="009D27B2">
            <w:pPr>
              <w:pStyle w:val="tblText02"/>
              <w:rPr>
                <w:sz w:val="16"/>
              </w:rPr>
            </w:pPr>
            <w:r w:rsidRPr="00227C94">
              <w:rPr>
                <w:sz w:val="16"/>
              </w:rPr>
              <w:t>LLC “Lenskaya Zolotorudnaya Company”</w:t>
            </w:r>
          </w:p>
        </w:tc>
        <w:tc>
          <w:tcPr>
            <w:tcW w:w="1678" w:type="dxa"/>
          </w:tcPr>
          <w:p w:rsidR="009D27B2" w:rsidRPr="00227C94" w:rsidRDefault="009D27B2" w:rsidP="009D27B2">
            <w:pPr>
              <w:pStyle w:val="tblText02"/>
              <w:rPr>
                <w:sz w:val="16"/>
              </w:rPr>
            </w:pPr>
            <w:r w:rsidRPr="00227C94">
              <w:rPr>
                <w:sz w:val="16"/>
              </w:rPr>
              <w:t>Russian Federation</w:t>
            </w:r>
          </w:p>
        </w:tc>
        <w:tc>
          <w:tcPr>
            <w:tcW w:w="1811" w:type="dxa"/>
            <w:tcBorders>
              <w:left w:val="nil"/>
            </w:tcBorders>
          </w:tcPr>
          <w:p w:rsidR="009D27B2" w:rsidRPr="00227C94" w:rsidRDefault="009D27B2" w:rsidP="009D27B2">
            <w:pPr>
              <w:pStyle w:val="tblText02"/>
              <w:rPr>
                <w:sz w:val="16"/>
              </w:rPr>
            </w:pPr>
            <w:r w:rsidRPr="00227C94">
              <w:rPr>
                <w:sz w:val="16"/>
              </w:rPr>
              <w:t>Market agent</w:t>
            </w:r>
          </w:p>
        </w:tc>
        <w:tc>
          <w:tcPr>
            <w:tcW w:w="940" w:type="dxa"/>
            <w:vAlign w:val="bottom"/>
          </w:tcPr>
          <w:p w:rsidR="009D27B2" w:rsidRPr="00227C94" w:rsidRDefault="009D27B2" w:rsidP="009D27B2">
            <w:pPr>
              <w:pStyle w:val="tblNumber01"/>
              <w:rPr>
                <w:sz w:val="16"/>
              </w:rPr>
            </w:pPr>
            <w:r w:rsidRPr="00227C94">
              <w:rPr>
                <w:sz w:val="16"/>
              </w:rPr>
              <w:t>n/a</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89</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n/a</w:t>
            </w:r>
          </w:p>
        </w:tc>
      </w:tr>
      <w:tr w:rsidR="009D27B2" w:rsidRPr="00227C94" w:rsidTr="009D27B2">
        <w:trPr>
          <w:cantSplit/>
        </w:trPr>
        <w:tc>
          <w:tcPr>
            <w:tcW w:w="2367" w:type="dxa"/>
          </w:tcPr>
          <w:p w:rsidR="009D27B2" w:rsidRPr="00227C94" w:rsidRDefault="009D27B2" w:rsidP="009D27B2">
            <w:pPr>
              <w:pStyle w:val="tblText02"/>
              <w:rPr>
                <w:sz w:val="16"/>
              </w:rPr>
            </w:pPr>
            <w:r w:rsidRPr="00227C94">
              <w:rPr>
                <w:sz w:val="16"/>
              </w:rPr>
              <w:t>CJSC “ZDK Lenzoloto”</w:t>
            </w:r>
          </w:p>
        </w:tc>
        <w:tc>
          <w:tcPr>
            <w:tcW w:w="1678" w:type="dxa"/>
          </w:tcPr>
          <w:p w:rsidR="009D27B2" w:rsidRPr="00227C94" w:rsidRDefault="009D27B2" w:rsidP="009D27B2">
            <w:pPr>
              <w:pStyle w:val="tblText02"/>
              <w:rPr>
                <w:sz w:val="16"/>
              </w:rPr>
            </w:pPr>
            <w:r w:rsidRPr="00227C94">
              <w:rPr>
                <w:sz w:val="16"/>
              </w:rPr>
              <w:t>Russian Federation</w:t>
            </w:r>
          </w:p>
        </w:tc>
        <w:tc>
          <w:tcPr>
            <w:tcW w:w="1811" w:type="dxa"/>
            <w:tcBorders>
              <w:left w:val="nil"/>
            </w:tcBorders>
          </w:tcPr>
          <w:p w:rsidR="009D27B2" w:rsidRPr="00227C94" w:rsidRDefault="009D27B2" w:rsidP="009D27B2">
            <w:pPr>
              <w:pStyle w:val="tblText02"/>
              <w:rPr>
                <w:sz w:val="16"/>
              </w:rPr>
            </w:pPr>
            <w:r w:rsidRPr="00227C94">
              <w:rPr>
                <w:sz w:val="16"/>
              </w:rPr>
              <w:t>Mining</w:t>
            </w:r>
          </w:p>
        </w:tc>
        <w:tc>
          <w:tcPr>
            <w:tcW w:w="940" w:type="dxa"/>
            <w:vAlign w:val="bottom"/>
          </w:tcPr>
          <w:p w:rsidR="009D27B2" w:rsidRPr="00227C94" w:rsidRDefault="009D27B2" w:rsidP="009D27B2">
            <w:pPr>
              <w:pStyle w:val="tblNumber01"/>
              <w:rPr>
                <w:sz w:val="16"/>
              </w:rPr>
            </w:pPr>
            <w:r w:rsidRPr="00227C94">
              <w:rPr>
                <w:sz w:val="16"/>
              </w:rPr>
              <w:t>63</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59</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63</w:t>
            </w:r>
          </w:p>
        </w:tc>
      </w:tr>
      <w:tr w:rsidR="009D27B2" w:rsidRPr="00227C94" w:rsidTr="009D27B2">
        <w:trPr>
          <w:cantSplit/>
        </w:trPr>
        <w:tc>
          <w:tcPr>
            <w:tcW w:w="2367" w:type="dxa"/>
          </w:tcPr>
          <w:p w:rsidR="009D27B2" w:rsidRPr="00227C94" w:rsidRDefault="009D27B2" w:rsidP="009D27B2">
            <w:pPr>
              <w:pStyle w:val="tblText02"/>
              <w:rPr>
                <w:sz w:val="16"/>
                <w:lang w:val="en-GB"/>
              </w:rPr>
            </w:pPr>
            <w:r w:rsidRPr="00227C94">
              <w:rPr>
                <w:sz w:val="16"/>
              </w:rPr>
              <w:t>CJSC “Lensib”</w:t>
            </w:r>
            <w:r w:rsidRPr="00227C94">
              <w:rPr>
                <w:sz w:val="16"/>
                <w:vertAlign w:val="superscript"/>
              </w:rPr>
              <w:t xml:space="preserve"> </w:t>
            </w:r>
            <w:r w:rsidR="00770124" w:rsidRPr="00227C94">
              <w:rPr>
                <w:sz w:val="16"/>
                <w:vertAlign w:val="superscript"/>
                <w:lang w:val="en-GB"/>
              </w:rPr>
              <w:t>3</w:t>
            </w:r>
          </w:p>
        </w:tc>
        <w:tc>
          <w:tcPr>
            <w:tcW w:w="1678" w:type="dxa"/>
          </w:tcPr>
          <w:p w:rsidR="009D27B2" w:rsidRPr="00227C94" w:rsidRDefault="009D27B2" w:rsidP="009D27B2">
            <w:pPr>
              <w:pStyle w:val="tblText02"/>
              <w:rPr>
                <w:sz w:val="16"/>
              </w:rPr>
            </w:pPr>
            <w:r w:rsidRPr="00227C94">
              <w:rPr>
                <w:sz w:val="16"/>
              </w:rPr>
              <w:t>Russian Federation</w:t>
            </w:r>
          </w:p>
        </w:tc>
        <w:tc>
          <w:tcPr>
            <w:tcW w:w="1811" w:type="dxa"/>
            <w:tcBorders>
              <w:left w:val="nil"/>
            </w:tcBorders>
          </w:tcPr>
          <w:p w:rsidR="009D27B2" w:rsidRPr="00227C94" w:rsidRDefault="009D27B2" w:rsidP="009D27B2">
            <w:pPr>
              <w:pStyle w:val="tblText02"/>
              <w:rPr>
                <w:sz w:val="16"/>
              </w:rPr>
            </w:pPr>
            <w:r w:rsidRPr="00227C94">
              <w:rPr>
                <w:sz w:val="16"/>
              </w:rPr>
              <w:t>Mining</w:t>
            </w:r>
          </w:p>
        </w:tc>
        <w:tc>
          <w:tcPr>
            <w:tcW w:w="940" w:type="dxa"/>
            <w:vAlign w:val="bottom"/>
          </w:tcPr>
          <w:p w:rsidR="009D27B2" w:rsidRPr="00227C94" w:rsidRDefault="009D27B2" w:rsidP="009D27B2">
            <w:pPr>
              <w:pStyle w:val="tblNumber01"/>
              <w:rPr>
                <w:sz w:val="16"/>
              </w:rPr>
            </w:pPr>
            <w:r w:rsidRPr="00227C94">
              <w:rPr>
                <w:sz w:val="16"/>
              </w:rPr>
              <w:t>38</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36</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38</w:t>
            </w:r>
          </w:p>
        </w:tc>
      </w:tr>
      <w:tr w:rsidR="009D27B2" w:rsidRPr="00227C94" w:rsidTr="009D27B2">
        <w:trPr>
          <w:cantSplit/>
        </w:trPr>
        <w:tc>
          <w:tcPr>
            <w:tcW w:w="2367" w:type="dxa"/>
          </w:tcPr>
          <w:p w:rsidR="009D27B2" w:rsidRPr="00227C94" w:rsidRDefault="009D27B2" w:rsidP="009D27B2">
            <w:pPr>
              <w:pStyle w:val="tblText02"/>
              <w:rPr>
                <w:sz w:val="16"/>
                <w:vertAlign w:val="superscript"/>
              </w:rPr>
            </w:pPr>
            <w:r w:rsidRPr="00227C94">
              <w:rPr>
                <w:sz w:val="16"/>
              </w:rPr>
              <w:t>CJSC “Svetliy”</w:t>
            </w:r>
          </w:p>
        </w:tc>
        <w:tc>
          <w:tcPr>
            <w:tcW w:w="1678" w:type="dxa"/>
          </w:tcPr>
          <w:p w:rsidR="009D27B2" w:rsidRPr="00227C94" w:rsidRDefault="009D27B2" w:rsidP="009D27B2">
            <w:pPr>
              <w:pStyle w:val="tblText02"/>
              <w:rPr>
                <w:sz w:val="16"/>
              </w:rPr>
            </w:pPr>
            <w:r w:rsidRPr="00227C94">
              <w:rPr>
                <w:sz w:val="16"/>
              </w:rPr>
              <w:t>Russian Federation</w:t>
            </w:r>
          </w:p>
        </w:tc>
        <w:tc>
          <w:tcPr>
            <w:tcW w:w="1811" w:type="dxa"/>
            <w:tcBorders>
              <w:left w:val="nil"/>
            </w:tcBorders>
          </w:tcPr>
          <w:p w:rsidR="009D27B2" w:rsidRPr="00227C94" w:rsidRDefault="009D27B2" w:rsidP="009D27B2">
            <w:pPr>
              <w:pStyle w:val="tblText02"/>
              <w:rPr>
                <w:sz w:val="16"/>
              </w:rPr>
            </w:pPr>
            <w:r w:rsidRPr="00227C94">
              <w:rPr>
                <w:sz w:val="16"/>
              </w:rPr>
              <w:t>Mining</w:t>
            </w:r>
          </w:p>
        </w:tc>
        <w:tc>
          <w:tcPr>
            <w:tcW w:w="940" w:type="dxa"/>
            <w:vAlign w:val="bottom"/>
          </w:tcPr>
          <w:p w:rsidR="009D27B2" w:rsidRPr="00227C94" w:rsidRDefault="009D27B2" w:rsidP="009D27B2">
            <w:pPr>
              <w:pStyle w:val="tblNumber01"/>
              <w:rPr>
                <w:sz w:val="16"/>
              </w:rPr>
            </w:pPr>
            <w:r w:rsidRPr="00227C94">
              <w:rPr>
                <w:sz w:val="16"/>
              </w:rPr>
              <w:t>53</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50</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53</w:t>
            </w:r>
          </w:p>
        </w:tc>
      </w:tr>
      <w:tr w:rsidR="009D27B2" w:rsidRPr="00227C94" w:rsidTr="009D27B2">
        <w:trPr>
          <w:cantSplit/>
        </w:trPr>
        <w:tc>
          <w:tcPr>
            <w:tcW w:w="2367" w:type="dxa"/>
          </w:tcPr>
          <w:p w:rsidR="009D27B2" w:rsidRPr="00227C94" w:rsidRDefault="009D27B2" w:rsidP="009D27B2">
            <w:pPr>
              <w:pStyle w:val="tblText02"/>
              <w:rPr>
                <w:sz w:val="16"/>
                <w:vertAlign w:val="superscript"/>
              </w:rPr>
            </w:pPr>
            <w:r w:rsidRPr="00227C94">
              <w:rPr>
                <w:sz w:val="16"/>
              </w:rPr>
              <w:t>CJSC “Marakan”</w:t>
            </w:r>
          </w:p>
        </w:tc>
        <w:tc>
          <w:tcPr>
            <w:tcW w:w="1678" w:type="dxa"/>
          </w:tcPr>
          <w:p w:rsidR="009D27B2" w:rsidRPr="00227C94" w:rsidRDefault="009D27B2" w:rsidP="009D27B2">
            <w:pPr>
              <w:pStyle w:val="tblText02"/>
              <w:rPr>
                <w:sz w:val="16"/>
              </w:rPr>
            </w:pPr>
            <w:r w:rsidRPr="00227C94">
              <w:rPr>
                <w:sz w:val="16"/>
              </w:rPr>
              <w:t>Russian Federation</w:t>
            </w:r>
          </w:p>
        </w:tc>
        <w:tc>
          <w:tcPr>
            <w:tcW w:w="1811" w:type="dxa"/>
            <w:tcBorders>
              <w:left w:val="nil"/>
            </w:tcBorders>
          </w:tcPr>
          <w:p w:rsidR="009D27B2" w:rsidRPr="00227C94" w:rsidRDefault="009D27B2" w:rsidP="009D27B2">
            <w:pPr>
              <w:pStyle w:val="tblText02"/>
              <w:rPr>
                <w:sz w:val="16"/>
              </w:rPr>
            </w:pPr>
            <w:r w:rsidRPr="00227C94">
              <w:rPr>
                <w:sz w:val="16"/>
              </w:rPr>
              <w:t>Mining</w:t>
            </w:r>
          </w:p>
        </w:tc>
        <w:tc>
          <w:tcPr>
            <w:tcW w:w="940" w:type="dxa"/>
            <w:vAlign w:val="bottom"/>
          </w:tcPr>
          <w:p w:rsidR="009D27B2" w:rsidRPr="00227C94" w:rsidRDefault="009D27B2" w:rsidP="009D27B2">
            <w:pPr>
              <w:pStyle w:val="tblNumber01"/>
              <w:rPr>
                <w:sz w:val="16"/>
              </w:rPr>
            </w:pPr>
            <w:r w:rsidRPr="00227C94">
              <w:rPr>
                <w:sz w:val="16"/>
              </w:rPr>
              <w:t>53</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50</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53</w:t>
            </w:r>
          </w:p>
        </w:tc>
      </w:tr>
      <w:tr w:rsidR="009D27B2" w:rsidRPr="00227C94" w:rsidTr="009D27B2">
        <w:trPr>
          <w:cantSplit/>
        </w:trPr>
        <w:tc>
          <w:tcPr>
            <w:tcW w:w="2367" w:type="dxa"/>
          </w:tcPr>
          <w:p w:rsidR="009D27B2" w:rsidRPr="00227C94" w:rsidRDefault="009D27B2" w:rsidP="009D27B2">
            <w:pPr>
              <w:pStyle w:val="tblText02"/>
              <w:rPr>
                <w:sz w:val="16"/>
                <w:vertAlign w:val="superscript"/>
              </w:rPr>
            </w:pPr>
            <w:r w:rsidRPr="00227C94">
              <w:rPr>
                <w:sz w:val="16"/>
              </w:rPr>
              <w:t>CJSC “Dalnaya Taiga”</w:t>
            </w:r>
          </w:p>
        </w:tc>
        <w:tc>
          <w:tcPr>
            <w:tcW w:w="1678" w:type="dxa"/>
          </w:tcPr>
          <w:p w:rsidR="009D27B2" w:rsidRPr="00227C94" w:rsidRDefault="009D27B2" w:rsidP="009D27B2">
            <w:pPr>
              <w:pStyle w:val="tblText02"/>
              <w:rPr>
                <w:sz w:val="16"/>
              </w:rPr>
            </w:pPr>
            <w:r w:rsidRPr="00227C94">
              <w:rPr>
                <w:sz w:val="16"/>
              </w:rPr>
              <w:t>Russian Federation</w:t>
            </w:r>
          </w:p>
        </w:tc>
        <w:tc>
          <w:tcPr>
            <w:tcW w:w="1811" w:type="dxa"/>
            <w:tcBorders>
              <w:left w:val="nil"/>
            </w:tcBorders>
          </w:tcPr>
          <w:p w:rsidR="009D27B2" w:rsidRPr="00227C94" w:rsidRDefault="009D27B2" w:rsidP="009D27B2">
            <w:pPr>
              <w:pStyle w:val="tblText02"/>
              <w:rPr>
                <w:sz w:val="16"/>
              </w:rPr>
            </w:pPr>
            <w:r w:rsidRPr="00227C94">
              <w:rPr>
                <w:sz w:val="16"/>
              </w:rPr>
              <w:t>Mining</w:t>
            </w:r>
          </w:p>
        </w:tc>
        <w:tc>
          <w:tcPr>
            <w:tcW w:w="940" w:type="dxa"/>
            <w:vAlign w:val="bottom"/>
          </w:tcPr>
          <w:p w:rsidR="009D27B2" w:rsidRPr="00227C94" w:rsidRDefault="009D27B2" w:rsidP="009D27B2">
            <w:pPr>
              <w:pStyle w:val="tblNumber01"/>
              <w:rPr>
                <w:sz w:val="16"/>
              </w:rPr>
            </w:pPr>
            <w:r w:rsidRPr="00227C94">
              <w:rPr>
                <w:sz w:val="16"/>
              </w:rPr>
              <w:t>52</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48</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52</w:t>
            </w:r>
          </w:p>
        </w:tc>
      </w:tr>
      <w:tr w:rsidR="009D27B2" w:rsidRPr="00227C94" w:rsidTr="009D27B2">
        <w:trPr>
          <w:cantSplit/>
        </w:trPr>
        <w:tc>
          <w:tcPr>
            <w:tcW w:w="2367" w:type="dxa"/>
          </w:tcPr>
          <w:p w:rsidR="009D27B2" w:rsidRPr="00227C94" w:rsidRDefault="009D27B2" w:rsidP="009D27B2">
            <w:pPr>
              <w:pStyle w:val="tblText02"/>
              <w:rPr>
                <w:sz w:val="16"/>
                <w:lang w:val="en-GB"/>
              </w:rPr>
            </w:pPr>
            <w:r w:rsidRPr="00227C94">
              <w:rPr>
                <w:sz w:val="16"/>
              </w:rPr>
              <w:t>CJSC “Sevzoto”</w:t>
            </w:r>
            <w:r w:rsidRPr="00227C94">
              <w:rPr>
                <w:sz w:val="16"/>
                <w:vertAlign w:val="superscript"/>
              </w:rPr>
              <w:t xml:space="preserve"> </w:t>
            </w:r>
            <w:r w:rsidR="00770124" w:rsidRPr="00227C94">
              <w:rPr>
                <w:sz w:val="16"/>
                <w:vertAlign w:val="superscript"/>
                <w:lang w:val="en-GB"/>
              </w:rPr>
              <w:t>3</w:t>
            </w:r>
          </w:p>
        </w:tc>
        <w:tc>
          <w:tcPr>
            <w:tcW w:w="1678" w:type="dxa"/>
          </w:tcPr>
          <w:p w:rsidR="009D27B2" w:rsidRPr="00227C94" w:rsidRDefault="009D27B2" w:rsidP="009D27B2">
            <w:pPr>
              <w:pStyle w:val="tblText02"/>
              <w:rPr>
                <w:sz w:val="16"/>
              </w:rPr>
            </w:pPr>
            <w:r w:rsidRPr="00227C94">
              <w:rPr>
                <w:sz w:val="16"/>
              </w:rPr>
              <w:t>Russian Federation</w:t>
            </w:r>
          </w:p>
        </w:tc>
        <w:tc>
          <w:tcPr>
            <w:tcW w:w="1811" w:type="dxa"/>
            <w:tcBorders>
              <w:left w:val="nil"/>
            </w:tcBorders>
          </w:tcPr>
          <w:p w:rsidR="009D27B2" w:rsidRPr="00227C94" w:rsidRDefault="009D27B2" w:rsidP="009D27B2">
            <w:pPr>
              <w:pStyle w:val="tblText02"/>
              <w:rPr>
                <w:sz w:val="16"/>
              </w:rPr>
            </w:pPr>
            <w:r w:rsidRPr="00227C94">
              <w:rPr>
                <w:sz w:val="16"/>
              </w:rPr>
              <w:t>Mining</w:t>
            </w:r>
          </w:p>
        </w:tc>
        <w:tc>
          <w:tcPr>
            <w:tcW w:w="940" w:type="dxa"/>
            <w:vAlign w:val="bottom"/>
          </w:tcPr>
          <w:p w:rsidR="009D27B2" w:rsidRPr="00227C94" w:rsidRDefault="009D27B2" w:rsidP="009D27B2">
            <w:pPr>
              <w:pStyle w:val="tblNumber01"/>
              <w:rPr>
                <w:sz w:val="16"/>
              </w:rPr>
            </w:pPr>
            <w:r w:rsidRPr="00227C94">
              <w:rPr>
                <w:sz w:val="16"/>
              </w:rPr>
              <w:t>41</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38</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41</w:t>
            </w:r>
          </w:p>
        </w:tc>
      </w:tr>
      <w:tr w:rsidR="009D27B2" w:rsidRPr="00227C94" w:rsidTr="009D27B2">
        <w:trPr>
          <w:cantSplit/>
        </w:trPr>
        <w:tc>
          <w:tcPr>
            <w:tcW w:w="2367" w:type="dxa"/>
          </w:tcPr>
          <w:p w:rsidR="009D27B2" w:rsidRPr="00227C94" w:rsidRDefault="009D27B2" w:rsidP="009D27B2">
            <w:pPr>
              <w:pStyle w:val="tblText02"/>
              <w:rPr>
                <w:sz w:val="16"/>
              </w:rPr>
            </w:pPr>
            <w:r w:rsidRPr="00227C94">
              <w:rPr>
                <w:sz w:val="16"/>
              </w:rPr>
              <w:t>CJSC “GRK Sukhoy Log”</w:t>
            </w:r>
          </w:p>
        </w:tc>
        <w:tc>
          <w:tcPr>
            <w:tcW w:w="1678" w:type="dxa"/>
          </w:tcPr>
          <w:p w:rsidR="009D27B2" w:rsidRPr="00227C94" w:rsidRDefault="009D27B2" w:rsidP="009D27B2">
            <w:pPr>
              <w:pStyle w:val="tblText02"/>
              <w:rPr>
                <w:sz w:val="16"/>
              </w:rPr>
            </w:pPr>
            <w:r w:rsidRPr="00227C94">
              <w:rPr>
                <w:sz w:val="16"/>
              </w:rPr>
              <w:t>Russian Federation</w:t>
            </w:r>
          </w:p>
        </w:tc>
        <w:tc>
          <w:tcPr>
            <w:tcW w:w="1811" w:type="dxa"/>
            <w:tcBorders>
              <w:left w:val="nil"/>
            </w:tcBorders>
          </w:tcPr>
          <w:p w:rsidR="009D27B2" w:rsidRPr="00227C94" w:rsidRDefault="009D27B2" w:rsidP="009D27B2">
            <w:pPr>
              <w:pStyle w:val="tblText02"/>
              <w:rPr>
                <w:sz w:val="16"/>
              </w:rPr>
            </w:pPr>
            <w:r w:rsidRPr="00227C94">
              <w:rPr>
                <w:sz w:val="16"/>
              </w:rPr>
              <w:t>Mining</w:t>
            </w:r>
          </w:p>
        </w:tc>
        <w:tc>
          <w:tcPr>
            <w:tcW w:w="940" w:type="dxa"/>
            <w:vAlign w:val="bottom"/>
          </w:tcPr>
          <w:p w:rsidR="009D27B2" w:rsidRPr="00227C94" w:rsidRDefault="009D27B2" w:rsidP="009D27B2">
            <w:pPr>
              <w:pStyle w:val="tblNumber01"/>
              <w:rPr>
                <w:sz w:val="16"/>
              </w:rPr>
            </w:pPr>
            <w:r w:rsidRPr="00227C94">
              <w:rPr>
                <w:sz w:val="16"/>
              </w:rPr>
              <w:t>n/a</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89</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n/a</w:t>
            </w:r>
          </w:p>
        </w:tc>
      </w:tr>
      <w:tr w:rsidR="009D27B2" w:rsidRPr="00227C94" w:rsidTr="009D27B2">
        <w:trPr>
          <w:cantSplit/>
        </w:trPr>
        <w:tc>
          <w:tcPr>
            <w:tcW w:w="2367" w:type="dxa"/>
          </w:tcPr>
          <w:p w:rsidR="009D27B2" w:rsidRPr="00227C94" w:rsidRDefault="009D27B2" w:rsidP="009D27B2">
            <w:pPr>
              <w:pStyle w:val="tblText02"/>
              <w:rPr>
                <w:sz w:val="16"/>
              </w:rPr>
            </w:pPr>
            <w:r w:rsidRPr="00227C94">
              <w:rPr>
                <w:sz w:val="16"/>
              </w:rPr>
              <w:t>OJSC “Matrosov Mine”</w:t>
            </w:r>
          </w:p>
        </w:tc>
        <w:tc>
          <w:tcPr>
            <w:tcW w:w="1678" w:type="dxa"/>
          </w:tcPr>
          <w:p w:rsidR="009D27B2" w:rsidRPr="00227C94" w:rsidRDefault="009D27B2" w:rsidP="009D27B2">
            <w:pPr>
              <w:pStyle w:val="tblText02"/>
              <w:rPr>
                <w:sz w:val="16"/>
              </w:rPr>
            </w:pPr>
            <w:r w:rsidRPr="00227C94">
              <w:rPr>
                <w:sz w:val="16"/>
              </w:rPr>
              <w:t>Russian Federation</w:t>
            </w:r>
          </w:p>
        </w:tc>
        <w:tc>
          <w:tcPr>
            <w:tcW w:w="1811" w:type="dxa"/>
            <w:tcBorders>
              <w:left w:val="nil"/>
            </w:tcBorders>
          </w:tcPr>
          <w:p w:rsidR="009D27B2" w:rsidRPr="00227C94" w:rsidRDefault="009D27B2" w:rsidP="009D27B2">
            <w:pPr>
              <w:pStyle w:val="tblText02"/>
              <w:rPr>
                <w:sz w:val="16"/>
              </w:rPr>
            </w:pPr>
            <w:r w:rsidRPr="00227C94">
              <w:rPr>
                <w:sz w:val="16"/>
              </w:rPr>
              <w:t>Mining</w:t>
            </w:r>
            <w:r w:rsidRPr="00227C94">
              <w:rPr>
                <w:sz w:val="16"/>
                <w:lang w:val="en-US"/>
              </w:rPr>
              <w:t xml:space="preserve"> </w:t>
            </w:r>
            <w:r w:rsidRPr="00227C94">
              <w:rPr>
                <w:sz w:val="16"/>
                <w:lang w:val="en-US"/>
              </w:rPr>
              <w:br/>
            </w:r>
            <w:r w:rsidRPr="00227C94">
              <w:rPr>
                <w:sz w:val="16"/>
              </w:rPr>
              <w:t>(development stage)</w:t>
            </w:r>
          </w:p>
        </w:tc>
        <w:tc>
          <w:tcPr>
            <w:tcW w:w="940" w:type="dxa"/>
            <w:vAlign w:val="bottom"/>
          </w:tcPr>
          <w:p w:rsidR="009D27B2" w:rsidRPr="00227C94" w:rsidRDefault="009D27B2" w:rsidP="009D27B2">
            <w:pPr>
              <w:pStyle w:val="tblNumber01"/>
              <w:rPr>
                <w:sz w:val="16"/>
              </w:rPr>
            </w:pPr>
            <w:r w:rsidRPr="00227C94">
              <w:rPr>
                <w:sz w:val="16"/>
              </w:rPr>
              <w:t>95</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89</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95</w:t>
            </w:r>
          </w:p>
        </w:tc>
      </w:tr>
      <w:tr w:rsidR="009D27B2" w:rsidRPr="00227C94" w:rsidTr="009D27B2">
        <w:trPr>
          <w:cantSplit/>
        </w:trPr>
        <w:tc>
          <w:tcPr>
            <w:tcW w:w="2367" w:type="dxa"/>
          </w:tcPr>
          <w:p w:rsidR="009D27B2" w:rsidRPr="00227C94" w:rsidRDefault="009D27B2" w:rsidP="009D27B2">
            <w:pPr>
              <w:pStyle w:val="tblText02"/>
              <w:rPr>
                <w:sz w:val="16"/>
              </w:rPr>
            </w:pPr>
            <w:r w:rsidRPr="00227C94">
              <w:rPr>
                <w:sz w:val="16"/>
              </w:rPr>
              <w:t>CJSC “Tonoda”</w:t>
            </w:r>
          </w:p>
        </w:tc>
        <w:tc>
          <w:tcPr>
            <w:tcW w:w="1678" w:type="dxa"/>
          </w:tcPr>
          <w:p w:rsidR="009D27B2" w:rsidRPr="00227C94" w:rsidRDefault="009D27B2" w:rsidP="009D27B2">
            <w:pPr>
              <w:pStyle w:val="tblText02"/>
              <w:rPr>
                <w:sz w:val="16"/>
              </w:rPr>
            </w:pPr>
            <w:r w:rsidRPr="00227C94">
              <w:rPr>
                <w:sz w:val="16"/>
              </w:rPr>
              <w:t>Russian Federation</w:t>
            </w:r>
          </w:p>
        </w:tc>
        <w:tc>
          <w:tcPr>
            <w:tcW w:w="1811" w:type="dxa"/>
            <w:tcBorders>
              <w:left w:val="nil"/>
            </w:tcBorders>
          </w:tcPr>
          <w:p w:rsidR="009D27B2" w:rsidRPr="00227C94" w:rsidRDefault="009D27B2" w:rsidP="009D27B2">
            <w:pPr>
              <w:pStyle w:val="tblText02"/>
              <w:rPr>
                <w:sz w:val="16"/>
              </w:rPr>
            </w:pPr>
            <w:r w:rsidRPr="00227C94">
              <w:rPr>
                <w:sz w:val="16"/>
              </w:rPr>
              <w:t>Mining</w:t>
            </w:r>
            <w:r w:rsidRPr="00227C94">
              <w:rPr>
                <w:sz w:val="16"/>
                <w:lang w:val="en-US"/>
              </w:rPr>
              <w:t xml:space="preserve"> </w:t>
            </w:r>
            <w:r w:rsidRPr="00227C94">
              <w:rPr>
                <w:sz w:val="16"/>
                <w:lang w:val="en-US"/>
              </w:rPr>
              <w:br/>
            </w:r>
            <w:r w:rsidRPr="00227C94">
              <w:rPr>
                <w:sz w:val="16"/>
              </w:rPr>
              <w:t>(exploration stage)</w:t>
            </w:r>
          </w:p>
        </w:tc>
        <w:tc>
          <w:tcPr>
            <w:tcW w:w="940" w:type="dxa"/>
            <w:vAlign w:val="bottom"/>
          </w:tcPr>
          <w:p w:rsidR="009D27B2" w:rsidRPr="00227C94" w:rsidRDefault="009D27B2" w:rsidP="009D27B2">
            <w:pPr>
              <w:pStyle w:val="tblNumber01"/>
              <w:rPr>
                <w:sz w:val="16"/>
              </w:rPr>
            </w:pPr>
            <w:r w:rsidRPr="00227C94">
              <w:rPr>
                <w:sz w:val="16"/>
              </w:rPr>
              <w:t>95</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89</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95</w:t>
            </w:r>
          </w:p>
        </w:tc>
      </w:tr>
      <w:tr w:rsidR="009D27B2" w:rsidRPr="00227C94" w:rsidTr="009D27B2">
        <w:trPr>
          <w:cantSplit/>
        </w:trPr>
        <w:tc>
          <w:tcPr>
            <w:tcW w:w="2367" w:type="dxa"/>
          </w:tcPr>
          <w:p w:rsidR="009D27B2" w:rsidRPr="00227C94" w:rsidRDefault="009D27B2" w:rsidP="009D27B2">
            <w:pPr>
              <w:pStyle w:val="tblText02"/>
              <w:rPr>
                <w:sz w:val="16"/>
              </w:rPr>
            </w:pPr>
            <w:r w:rsidRPr="00227C94">
              <w:rPr>
                <w:sz w:val="16"/>
              </w:rPr>
              <w:t>OJSC “Pervenets”</w:t>
            </w:r>
          </w:p>
        </w:tc>
        <w:tc>
          <w:tcPr>
            <w:tcW w:w="1678" w:type="dxa"/>
          </w:tcPr>
          <w:p w:rsidR="009D27B2" w:rsidRPr="00227C94" w:rsidRDefault="009D27B2" w:rsidP="009D27B2">
            <w:pPr>
              <w:pStyle w:val="tblText02"/>
              <w:rPr>
                <w:sz w:val="16"/>
              </w:rPr>
            </w:pPr>
            <w:r w:rsidRPr="00227C94">
              <w:rPr>
                <w:sz w:val="16"/>
              </w:rPr>
              <w:t>Russian Federation</w:t>
            </w:r>
          </w:p>
        </w:tc>
        <w:tc>
          <w:tcPr>
            <w:tcW w:w="1811" w:type="dxa"/>
            <w:tcBorders>
              <w:left w:val="nil"/>
            </w:tcBorders>
          </w:tcPr>
          <w:p w:rsidR="009D27B2" w:rsidRPr="00227C94" w:rsidRDefault="009D27B2" w:rsidP="009D27B2">
            <w:pPr>
              <w:pStyle w:val="tblText02"/>
              <w:rPr>
                <w:sz w:val="16"/>
              </w:rPr>
            </w:pPr>
            <w:r w:rsidRPr="00227C94">
              <w:rPr>
                <w:sz w:val="16"/>
              </w:rPr>
              <w:t>Mining</w:t>
            </w:r>
            <w:r w:rsidRPr="00227C94">
              <w:rPr>
                <w:sz w:val="16"/>
                <w:lang w:val="en-US"/>
              </w:rPr>
              <w:t xml:space="preserve"> </w:t>
            </w:r>
            <w:r w:rsidRPr="00227C94">
              <w:rPr>
                <w:sz w:val="16"/>
                <w:lang w:val="en-US"/>
              </w:rPr>
              <w:br/>
            </w:r>
            <w:r w:rsidRPr="00227C94">
              <w:rPr>
                <w:sz w:val="16"/>
              </w:rPr>
              <w:t>(development stage)</w:t>
            </w:r>
          </w:p>
        </w:tc>
        <w:tc>
          <w:tcPr>
            <w:tcW w:w="940" w:type="dxa"/>
            <w:vAlign w:val="bottom"/>
          </w:tcPr>
          <w:p w:rsidR="009D27B2" w:rsidRPr="00227C94" w:rsidRDefault="009D27B2" w:rsidP="009D27B2">
            <w:pPr>
              <w:pStyle w:val="tblNumber01"/>
              <w:rPr>
                <w:sz w:val="16"/>
              </w:rPr>
            </w:pPr>
            <w:r w:rsidRPr="00227C94">
              <w:rPr>
                <w:sz w:val="16"/>
              </w:rPr>
              <w:t>95</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89</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95</w:t>
            </w:r>
          </w:p>
        </w:tc>
      </w:tr>
      <w:tr w:rsidR="009D27B2" w:rsidRPr="00227C94" w:rsidTr="009D27B2">
        <w:trPr>
          <w:cantSplit/>
        </w:trPr>
        <w:tc>
          <w:tcPr>
            <w:tcW w:w="2367" w:type="dxa"/>
          </w:tcPr>
          <w:p w:rsidR="009D27B2" w:rsidRPr="00227C94" w:rsidRDefault="009D27B2" w:rsidP="009D27B2">
            <w:pPr>
              <w:pStyle w:val="tblText02"/>
              <w:rPr>
                <w:sz w:val="16"/>
                <w:lang w:val="en-US"/>
              </w:rPr>
            </w:pPr>
            <w:r w:rsidRPr="00227C94">
              <w:rPr>
                <w:sz w:val="16"/>
                <w:lang w:val="en-US"/>
              </w:rPr>
              <w:t>OJSC “South-Verkhoyansk Mining Company”</w:t>
            </w:r>
          </w:p>
        </w:tc>
        <w:tc>
          <w:tcPr>
            <w:tcW w:w="1678" w:type="dxa"/>
          </w:tcPr>
          <w:p w:rsidR="009D27B2" w:rsidRPr="00227C94" w:rsidRDefault="009D27B2" w:rsidP="009D27B2">
            <w:pPr>
              <w:pStyle w:val="tblText02"/>
              <w:rPr>
                <w:sz w:val="16"/>
              </w:rPr>
            </w:pPr>
            <w:r w:rsidRPr="00227C94">
              <w:rPr>
                <w:sz w:val="16"/>
              </w:rPr>
              <w:t>Russian Federation</w:t>
            </w:r>
          </w:p>
        </w:tc>
        <w:tc>
          <w:tcPr>
            <w:tcW w:w="1811" w:type="dxa"/>
            <w:tcBorders>
              <w:left w:val="nil"/>
            </w:tcBorders>
          </w:tcPr>
          <w:p w:rsidR="009D27B2" w:rsidRPr="00227C94" w:rsidRDefault="009D27B2" w:rsidP="009D27B2">
            <w:pPr>
              <w:pStyle w:val="tblText02"/>
              <w:rPr>
                <w:sz w:val="16"/>
              </w:rPr>
            </w:pPr>
            <w:r w:rsidRPr="00227C94">
              <w:rPr>
                <w:sz w:val="16"/>
              </w:rPr>
              <w:t>Mining</w:t>
            </w:r>
            <w:r w:rsidRPr="00227C94">
              <w:rPr>
                <w:sz w:val="16"/>
                <w:lang w:val="en-US"/>
              </w:rPr>
              <w:t xml:space="preserve"> </w:t>
            </w:r>
            <w:r w:rsidRPr="00227C94">
              <w:rPr>
                <w:sz w:val="16"/>
                <w:lang w:val="en-US"/>
              </w:rPr>
              <w:br/>
            </w:r>
            <w:r w:rsidRPr="00227C94">
              <w:rPr>
                <w:sz w:val="16"/>
              </w:rPr>
              <w:t>(development stage)</w:t>
            </w:r>
          </w:p>
        </w:tc>
        <w:tc>
          <w:tcPr>
            <w:tcW w:w="940" w:type="dxa"/>
            <w:vAlign w:val="bottom"/>
          </w:tcPr>
          <w:p w:rsidR="009D27B2" w:rsidRPr="00227C94" w:rsidRDefault="009D27B2" w:rsidP="009D27B2">
            <w:pPr>
              <w:pStyle w:val="tblNumber01"/>
              <w:rPr>
                <w:sz w:val="16"/>
              </w:rPr>
            </w:pPr>
            <w:r w:rsidRPr="00227C94">
              <w:rPr>
                <w:sz w:val="16"/>
              </w:rPr>
              <w:t>95</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89</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95</w:t>
            </w:r>
          </w:p>
        </w:tc>
      </w:tr>
      <w:tr w:rsidR="009D27B2" w:rsidRPr="00227C94" w:rsidTr="009D27B2">
        <w:trPr>
          <w:cantSplit/>
        </w:trPr>
        <w:tc>
          <w:tcPr>
            <w:tcW w:w="2367" w:type="dxa"/>
          </w:tcPr>
          <w:p w:rsidR="009D27B2" w:rsidRPr="00227C94" w:rsidRDefault="009D27B2" w:rsidP="009D27B2">
            <w:pPr>
              <w:pStyle w:val="tblText02"/>
              <w:rPr>
                <w:sz w:val="16"/>
              </w:rPr>
            </w:pPr>
            <w:r w:rsidRPr="00227C94">
              <w:rPr>
                <w:sz w:val="16"/>
              </w:rPr>
              <w:t>Polyus Exploration Limited</w:t>
            </w:r>
          </w:p>
        </w:tc>
        <w:tc>
          <w:tcPr>
            <w:tcW w:w="1678" w:type="dxa"/>
          </w:tcPr>
          <w:p w:rsidR="009D27B2" w:rsidRPr="00227C94" w:rsidRDefault="009D27B2" w:rsidP="009D27B2">
            <w:pPr>
              <w:pStyle w:val="tblText02"/>
              <w:rPr>
                <w:sz w:val="16"/>
              </w:rPr>
            </w:pPr>
            <w:r w:rsidRPr="00227C94">
              <w:rPr>
                <w:sz w:val="16"/>
              </w:rPr>
              <w:t>British Virgin Islands</w:t>
            </w:r>
          </w:p>
        </w:tc>
        <w:tc>
          <w:tcPr>
            <w:tcW w:w="1811" w:type="dxa"/>
            <w:tcBorders>
              <w:left w:val="nil"/>
            </w:tcBorders>
          </w:tcPr>
          <w:p w:rsidR="009D27B2" w:rsidRPr="00227C94" w:rsidRDefault="009D27B2" w:rsidP="009D27B2">
            <w:pPr>
              <w:pStyle w:val="tblText02"/>
              <w:rPr>
                <w:sz w:val="16"/>
              </w:rPr>
            </w:pPr>
            <w:r w:rsidRPr="00227C94">
              <w:rPr>
                <w:sz w:val="16"/>
              </w:rPr>
              <w:t>Geological research</w:t>
            </w:r>
          </w:p>
        </w:tc>
        <w:tc>
          <w:tcPr>
            <w:tcW w:w="940" w:type="dxa"/>
            <w:vAlign w:val="bottom"/>
          </w:tcPr>
          <w:p w:rsidR="009D27B2" w:rsidRPr="00227C94" w:rsidRDefault="009D27B2" w:rsidP="009D27B2">
            <w:pPr>
              <w:pStyle w:val="tblNumber01"/>
              <w:rPr>
                <w:sz w:val="16"/>
              </w:rPr>
            </w:pPr>
            <w:r w:rsidRPr="00227C94">
              <w:rPr>
                <w:sz w:val="16"/>
              </w:rPr>
              <w:t>95</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89</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95</w:t>
            </w:r>
          </w:p>
        </w:tc>
      </w:tr>
      <w:tr w:rsidR="009D27B2" w:rsidRPr="00227C94" w:rsidTr="009D27B2">
        <w:trPr>
          <w:cantSplit/>
        </w:trPr>
        <w:tc>
          <w:tcPr>
            <w:tcW w:w="2367" w:type="dxa"/>
          </w:tcPr>
          <w:p w:rsidR="009D27B2" w:rsidRPr="00227C94" w:rsidRDefault="009D27B2" w:rsidP="009D27B2">
            <w:pPr>
              <w:pStyle w:val="tblText02"/>
              <w:rPr>
                <w:sz w:val="16"/>
              </w:rPr>
            </w:pPr>
            <w:r w:rsidRPr="00227C94">
              <w:rPr>
                <w:sz w:val="16"/>
              </w:rPr>
              <w:t>JSC “MMC Kazakhaltyn”</w:t>
            </w:r>
          </w:p>
        </w:tc>
        <w:tc>
          <w:tcPr>
            <w:tcW w:w="1678" w:type="dxa"/>
          </w:tcPr>
          <w:p w:rsidR="009D27B2" w:rsidRPr="00227C94" w:rsidRDefault="009D27B2" w:rsidP="009D27B2">
            <w:pPr>
              <w:pStyle w:val="tblText02"/>
              <w:rPr>
                <w:sz w:val="16"/>
              </w:rPr>
            </w:pPr>
            <w:r w:rsidRPr="00227C94">
              <w:rPr>
                <w:sz w:val="16"/>
              </w:rPr>
              <w:t>Republic of Kazakhstan</w:t>
            </w:r>
          </w:p>
        </w:tc>
        <w:tc>
          <w:tcPr>
            <w:tcW w:w="1811" w:type="dxa"/>
            <w:tcBorders>
              <w:left w:val="nil"/>
            </w:tcBorders>
          </w:tcPr>
          <w:p w:rsidR="009D27B2" w:rsidRPr="00227C94" w:rsidRDefault="009D27B2" w:rsidP="009D27B2">
            <w:pPr>
              <w:pStyle w:val="tblText02"/>
              <w:rPr>
                <w:sz w:val="16"/>
              </w:rPr>
            </w:pPr>
            <w:r w:rsidRPr="00227C94">
              <w:rPr>
                <w:sz w:val="16"/>
              </w:rPr>
              <w:t>Mining</w:t>
            </w:r>
          </w:p>
        </w:tc>
        <w:tc>
          <w:tcPr>
            <w:tcW w:w="940" w:type="dxa"/>
            <w:vAlign w:val="bottom"/>
          </w:tcPr>
          <w:p w:rsidR="009D27B2" w:rsidRPr="00227C94" w:rsidRDefault="009D27B2" w:rsidP="009D27B2">
            <w:pPr>
              <w:pStyle w:val="tblNumber01"/>
              <w:rPr>
                <w:sz w:val="16"/>
              </w:rPr>
            </w:pPr>
            <w:r w:rsidRPr="00227C94">
              <w:rPr>
                <w:sz w:val="16"/>
              </w:rPr>
              <w:t>100</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100</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100</w:t>
            </w:r>
          </w:p>
        </w:tc>
      </w:tr>
      <w:tr w:rsidR="009D27B2" w:rsidRPr="00227C94" w:rsidTr="009D27B2">
        <w:trPr>
          <w:cantSplit/>
        </w:trPr>
        <w:tc>
          <w:tcPr>
            <w:tcW w:w="2367" w:type="dxa"/>
          </w:tcPr>
          <w:p w:rsidR="009D27B2" w:rsidRPr="00227C94" w:rsidRDefault="009D27B2" w:rsidP="009D27B2">
            <w:pPr>
              <w:pStyle w:val="tblText02"/>
              <w:rPr>
                <w:sz w:val="16"/>
              </w:rPr>
            </w:pPr>
            <w:r w:rsidRPr="00227C94">
              <w:rPr>
                <w:sz w:val="16"/>
              </w:rPr>
              <w:t>Jenington International Inc.</w:t>
            </w:r>
          </w:p>
        </w:tc>
        <w:tc>
          <w:tcPr>
            <w:tcW w:w="1678" w:type="dxa"/>
          </w:tcPr>
          <w:p w:rsidR="009D27B2" w:rsidRPr="00227C94" w:rsidRDefault="009D27B2" w:rsidP="009D27B2">
            <w:pPr>
              <w:pStyle w:val="tblText02"/>
              <w:rPr>
                <w:sz w:val="16"/>
              </w:rPr>
            </w:pPr>
            <w:r w:rsidRPr="00227C94">
              <w:rPr>
                <w:sz w:val="16"/>
              </w:rPr>
              <w:t>British Virgin Islands</w:t>
            </w:r>
          </w:p>
        </w:tc>
        <w:tc>
          <w:tcPr>
            <w:tcW w:w="1811" w:type="dxa"/>
            <w:tcBorders>
              <w:left w:val="nil"/>
            </w:tcBorders>
          </w:tcPr>
          <w:p w:rsidR="009D27B2" w:rsidRPr="00227C94" w:rsidRDefault="009D27B2" w:rsidP="009D27B2">
            <w:pPr>
              <w:pStyle w:val="tblText02"/>
              <w:rPr>
                <w:sz w:val="16"/>
              </w:rPr>
            </w:pPr>
            <w:r w:rsidRPr="00227C94">
              <w:rPr>
                <w:sz w:val="16"/>
              </w:rPr>
              <w:t>Market agent</w:t>
            </w:r>
          </w:p>
        </w:tc>
        <w:tc>
          <w:tcPr>
            <w:tcW w:w="940" w:type="dxa"/>
            <w:vAlign w:val="bottom"/>
          </w:tcPr>
          <w:p w:rsidR="009D27B2" w:rsidRPr="00227C94" w:rsidRDefault="009D27B2" w:rsidP="009D27B2">
            <w:pPr>
              <w:pStyle w:val="tblNumber01"/>
              <w:rPr>
                <w:sz w:val="16"/>
              </w:rPr>
            </w:pPr>
            <w:r w:rsidRPr="00227C94">
              <w:rPr>
                <w:sz w:val="16"/>
              </w:rPr>
              <w:t>95</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89</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95</w:t>
            </w:r>
          </w:p>
        </w:tc>
      </w:tr>
      <w:tr w:rsidR="009D27B2" w:rsidRPr="00227C94" w:rsidTr="009D27B2">
        <w:trPr>
          <w:cantSplit/>
        </w:trPr>
        <w:tc>
          <w:tcPr>
            <w:tcW w:w="2367" w:type="dxa"/>
          </w:tcPr>
          <w:p w:rsidR="009D27B2" w:rsidRPr="00227C94" w:rsidRDefault="009D27B2" w:rsidP="009D27B2">
            <w:pPr>
              <w:pStyle w:val="tblText02"/>
              <w:rPr>
                <w:sz w:val="16"/>
              </w:rPr>
            </w:pPr>
            <w:r w:rsidRPr="00227C94">
              <w:rPr>
                <w:sz w:val="16"/>
              </w:rPr>
              <w:t>Polyus Investments Limited</w:t>
            </w:r>
          </w:p>
        </w:tc>
        <w:tc>
          <w:tcPr>
            <w:tcW w:w="1678" w:type="dxa"/>
          </w:tcPr>
          <w:p w:rsidR="009D27B2" w:rsidRPr="00227C94" w:rsidRDefault="009D27B2" w:rsidP="009D27B2">
            <w:pPr>
              <w:pStyle w:val="tblText02"/>
              <w:rPr>
                <w:sz w:val="16"/>
              </w:rPr>
            </w:pPr>
            <w:r w:rsidRPr="00227C94">
              <w:rPr>
                <w:sz w:val="16"/>
              </w:rPr>
              <w:t>Cyprus</w:t>
            </w:r>
          </w:p>
        </w:tc>
        <w:tc>
          <w:tcPr>
            <w:tcW w:w="1811" w:type="dxa"/>
            <w:tcBorders>
              <w:left w:val="nil"/>
            </w:tcBorders>
          </w:tcPr>
          <w:p w:rsidR="009D27B2" w:rsidRPr="00227C94" w:rsidRDefault="009D27B2" w:rsidP="009D27B2">
            <w:pPr>
              <w:pStyle w:val="tblText02"/>
              <w:rPr>
                <w:sz w:val="16"/>
              </w:rPr>
            </w:pPr>
            <w:r w:rsidRPr="00227C94">
              <w:rPr>
                <w:sz w:val="16"/>
              </w:rPr>
              <w:t>Market agent</w:t>
            </w:r>
          </w:p>
        </w:tc>
        <w:tc>
          <w:tcPr>
            <w:tcW w:w="940" w:type="dxa"/>
            <w:vAlign w:val="bottom"/>
          </w:tcPr>
          <w:p w:rsidR="009D27B2" w:rsidRPr="00227C94" w:rsidRDefault="009D27B2" w:rsidP="009D27B2">
            <w:pPr>
              <w:pStyle w:val="tblNumber01"/>
              <w:rPr>
                <w:sz w:val="16"/>
              </w:rPr>
            </w:pPr>
            <w:r w:rsidRPr="00227C94">
              <w:rPr>
                <w:sz w:val="16"/>
              </w:rPr>
              <w:t>95</w:t>
            </w:r>
          </w:p>
        </w:tc>
        <w:tc>
          <w:tcPr>
            <w:tcW w:w="110" w:type="dxa"/>
            <w:vAlign w:val="bottom"/>
          </w:tcPr>
          <w:p w:rsidR="009D27B2" w:rsidRPr="00227C94" w:rsidRDefault="009D27B2" w:rsidP="009D27B2">
            <w:pPr>
              <w:pStyle w:val="tblNumber01"/>
              <w:rPr>
                <w:sz w:val="16"/>
              </w:rPr>
            </w:pPr>
          </w:p>
        </w:tc>
        <w:tc>
          <w:tcPr>
            <w:tcW w:w="954" w:type="dxa"/>
            <w:vAlign w:val="bottom"/>
          </w:tcPr>
          <w:p w:rsidR="009D27B2" w:rsidRPr="00227C94" w:rsidRDefault="009D27B2" w:rsidP="009D27B2">
            <w:pPr>
              <w:pStyle w:val="tblNumber01"/>
              <w:rPr>
                <w:sz w:val="16"/>
              </w:rPr>
            </w:pPr>
            <w:r w:rsidRPr="00227C94">
              <w:rPr>
                <w:sz w:val="16"/>
              </w:rPr>
              <w:t>89</w:t>
            </w:r>
          </w:p>
        </w:tc>
        <w:tc>
          <w:tcPr>
            <w:tcW w:w="83" w:type="dxa"/>
            <w:vAlign w:val="bottom"/>
          </w:tcPr>
          <w:p w:rsidR="009D27B2" w:rsidRPr="00227C94" w:rsidRDefault="009D27B2" w:rsidP="009D27B2">
            <w:pPr>
              <w:pStyle w:val="tblNumber01"/>
              <w:rPr>
                <w:sz w:val="16"/>
              </w:rPr>
            </w:pPr>
          </w:p>
        </w:tc>
        <w:tc>
          <w:tcPr>
            <w:tcW w:w="992" w:type="dxa"/>
            <w:vAlign w:val="bottom"/>
          </w:tcPr>
          <w:p w:rsidR="009D27B2" w:rsidRPr="00227C94" w:rsidRDefault="009D27B2" w:rsidP="009D27B2">
            <w:pPr>
              <w:pStyle w:val="tblNumber01"/>
              <w:rPr>
                <w:sz w:val="16"/>
              </w:rPr>
            </w:pPr>
            <w:r w:rsidRPr="00227C94">
              <w:rPr>
                <w:sz w:val="16"/>
              </w:rPr>
              <w:t>95</w:t>
            </w:r>
          </w:p>
        </w:tc>
      </w:tr>
    </w:tbl>
    <w:p w:rsidR="00916675" w:rsidRPr="00227C94" w:rsidRDefault="00916675" w:rsidP="009D27B2">
      <w:pPr>
        <w:pStyle w:val="23"/>
        <w:rPr>
          <w:color w:val="auto"/>
        </w:rPr>
      </w:pPr>
    </w:p>
    <w:p w:rsidR="00916675" w:rsidRPr="00227C94" w:rsidRDefault="00916675" w:rsidP="002E73D5">
      <w:pPr>
        <w:pStyle w:val="2"/>
        <w:numPr>
          <w:ilvl w:val="0"/>
          <w:numId w:val="28"/>
        </w:numPr>
        <w:rPr>
          <w:sz w:val="16"/>
          <w:lang w:val="en-US"/>
        </w:rPr>
      </w:pPr>
      <w:r w:rsidRPr="00227C94">
        <w:rPr>
          <w:sz w:val="16"/>
          <w:lang w:val="en-US"/>
        </w:rPr>
        <w:t>Effective % held by the Company, including holdings by other subsidiaries of the Group.</w:t>
      </w:r>
      <w:r w:rsidR="00770124" w:rsidRPr="00227C94">
        <w:rPr>
          <w:sz w:val="16"/>
          <w:lang w:val="en-US"/>
        </w:rPr>
        <w:t xml:space="preserve"> </w:t>
      </w:r>
    </w:p>
    <w:p w:rsidR="00770124" w:rsidRPr="00227C94" w:rsidRDefault="00770124" w:rsidP="00770124">
      <w:pPr>
        <w:pStyle w:val="2"/>
        <w:numPr>
          <w:ilvl w:val="0"/>
          <w:numId w:val="28"/>
        </w:numPr>
        <w:rPr>
          <w:sz w:val="16"/>
          <w:lang w:val="en-US"/>
        </w:rPr>
      </w:pPr>
      <w:r w:rsidRPr="00227C94">
        <w:rPr>
          <w:sz w:val="16"/>
          <w:lang w:val="en-US"/>
        </w:rPr>
        <w:t>Effective % includes 92.95% of ordinary shares held directly by the Company as at 30 June 2012 and 31 December 2011 and 89.14% as at 30 June 2011.</w:t>
      </w:r>
    </w:p>
    <w:p w:rsidR="00916675" w:rsidRPr="00227C94" w:rsidRDefault="00916675" w:rsidP="002E73D5">
      <w:pPr>
        <w:pStyle w:val="2"/>
        <w:numPr>
          <w:ilvl w:val="0"/>
          <w:numId w:val="28"/>
        </w:numPr>
        <w:rPr>
          <w:sz w:val="16"/>
          <w:lang w:val="en-US"/>
        </w:rPr>
      </w:pPr>
      <w:r w:rsidRPr="00227C94">
        <w:rPr>
          <w:sz w:val="16"/>
          <w:lang w:val="en-US"/>
        </w:rPr>
        <w:t>The Company maintains control of these entities as it continues to govern their financial and operating policies through its ability to appoint the Board of Directors. A majority of the Board members for these entities are representatives of the Company and are therefore consolidated even though the effective interest is less than 50%.</w:t>
      </w:r>
    </w:p>
    <w:p w:rsidR="00916675" w:rsidRPr="00227C94" w:rsidRDefault="00916675" w:rsidP="009D27B2">
      <w:pPr>
        <w:pStyle w:val="23"/>
        <w:rPr>
          <w:color w:val="auto"/>
          <w:lang w:val="en-US"/>
        </w:rPr>
      </w:pPr>
    </w:p>
    <w:p w:rsidR="00916675" w:rsidRPr="00227C94" w:rsidRDefault="00916675" w:rsidP="009D27B2">
      <w:pPr>
        <w:pStyle w:val="23"/>
        <w:rPr>
          <w:color w:val="auto"/>
          <w:lang w:val="en-US"/>
        </w:rPr>
      </w:pPr>
    </w:p>
    <w:sectPr w:rsidR="00916675" w:rsidRPr="00227C94" w:rsidSect="00A34AA8">
      <w:headerReference w:type="default" r:id="rId18"/>
      <w:pgSz w:w="11906" w:h="16838"/>
      <w:pgMar w:top="720" w:right="1077" w:bottom="431"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153" w:rsidRDefault="00387153" w:rsidP="002A32BC">
      <w:pPr>
        <w:pStyle w:val="tblHeaderText"/>
      </w:pPr>
      <w:r>
        <w:separator/>
      </w:r>
    </w:p>
  </w:endnote>
  <w:endnote w:type="continuationSeparator" w:id="0">
    <w:p w:rsidR="00387153" w:rsidRDefault="00387153" w:rsidP="002A32BC">
      <w:pPr>
        <w:pStyle w:val="tblHeader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HelveticaNeue">
    <w:altName w:val="MS Mincho"/>
    <w:panose1 w:val="00000000000000000000"/>
    <w:charset w:val="80"/>
    <w:family w:val="auto"/>
    <w:notTrueType/>
    <w:pitch w:val="default"/>
    <w:sig w:usb0="00000001" w:usb1="08070000" w:usb2="00000010" w:usb3="00000000" w:csb0="00020000" w:csb1="00000000"/>
  </w:font>
  <w:font w:name="Arial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53" w:rsidRDefault="00387153">
    <w:pPr>
      <w:pStyle w:val="ac"/>
    </w:pPr>
    <w:r>
      <w:fldChar w:fldCharType="begin"/>
    </w:r>
    <w:r>
      <w:instrText xml:space="preserve"> PAGE   \* MERGEFORMAT </w:instrText>
    </w:r>
    <w:r>
      <w:fldChar w:fldCharType="separate"/>
    </w:r>
    <w:r w:rsidR="005D5A2C">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153" w:rsidRDefault="00387153" w:rsidP="00821069">
      <w:pPr>
        <w:ind w:left="476"/>
      </w:pPr>
      <w:r>
        <w:separator/>
      </w:r>
    </w:p>
  </w:footnote>
  <w:footnote w:type="continuationSeparator" w:id="0">
    <w:p w:rsidR="00387153" w:rsidRDefault="00387153" w:rsidP="002A32BC">
      <w:pPr>
        <w:pStyle w:val="tblHeaderText"/>
      </w:pPr>
      <w:r>
        <w:continuationSeparator/>
      </w:r>
    </w:p>
  </w:footnote>
  <w:footnote w:id="1">
    <w:p w:rsidR="00387153" w:rsidRPr="00330D4D" w:rsidRDefault="00387153" w:rsidP="00C93F0F">
      <w:pPr>
        <w:pStyle w:val="af"/>
        <w:rPr>
          <w:lang w:val="en-US"/>
        </w:rPr>
      </w:pPr>
      <w:r w:rsidRPr="00330D4D">
        <w:rPr>
          <w:vertAlign w:val="superscript"/>
          <w:lang w:val="en-US"/>
        </w:rPr>
        <w:t xml:space="preserve">1 </w:t>
      </w:r>
      <w:r w:rsidRPr="00330D4D">
        <w:rPr>
          <w:lang w:val="en-US"/>
        </w:rPr>
        <w:t>H1 2012 production volumes include 670 thousand ounces of refined gold produced by the Group’s mines in Russia and 51 thousand ounces of gold produced by the Kazakhstan operations in the form of sludge, flotation and gravitation concentrates and other semi-products. H1 2011 production volumes include 554 thousand ounces of refined gold produced by the Group’s mines in Russia and 57 thousand ounces of gold produced by the Kazakhstan operations in the form of sludge, flotation and gravitation concentrates and other semi-products.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53" w:rsidRPr="00330D4D" w:rsidRDefault="00387153" w:rsidP="000572BE">
    <w:pPr>
      <w:pStyle w:val="ZX1CompanyName12"/>
      <w:rPr>
        <w:lang w:val="en-US"/>
      </w:rPr>
    </w:pPr>
    <w:r w:rsidRPr="00330D4D">
      <w:rPr>
        <w:lang w:val="en-US"/>
      </w:rPr>
      <w:t>POLYUS GOLD International Limited</w:t>
    </w:r>
  </w:p>
  <w:p w:rsidR="00387153" w:rsidRPr="00330D4D" w:rsidRDefault="00387153" w:rsidP="000572BE">
    <w:pPr>
      <w:pStyle w:val="ZX1CompanyName12"/>
      <w:rPr>
        <w:lang w:val="en-US"/>
      </w:rPr>
    </w:pPr>
  </w:p>
  <w:p w:rsidR="00387153" w:rsidRPr="00330D4D" w:rsidRDefault="00387153" w:rsidP="000572BE">
    <w:pPr>
      <w:pStyle w:val="ZX2Subhead"/>
      <w:rPr>
        <w:lang w:val="en-US"/>
      </w:rPr>
    </w:pPr>
    <w:r w:rsidRPr="00330D4D">
      <w:rPr>
        <w:lang w:val="en-US"/>
      </w:rPr>
      <w:t xml:space="preserve">NOTES TO THE </w:t>
    </w:r>
    <w:r>
      <w:rPr>
        <w:lang w:val="en-GB"/>
      </w:rPr>
      <w:t xml:space="preserve">condensed </w:t>
    </w:r>
    <w:r w:rsidRPr="00330D4D">
      <w:rPr>
        <w:lang w:val="en-US"/>
      </w:rPr>
      <w:t xml:space="preserve">CONSOLIDATED </w:t>
    </w:r>
    <w:r w:rsidRPr="00B70DBB">
      <w:rPr>
        <w:lang w:val="en-GB"/>
      </w:rPr>
      <w:t xml:space="preserve">interim </w:t>
    </w:r>
    <w:r w:rsidRPr="00330D4D">
      <w:rPr>
        <w:lang w:val="en-US"/>
      </w:rPr>
      <w:t>FINANCIAL statements</w:t>
    </w:r>
  </w:p>
  <w:p w:rsidR="00387153" w:rsidRPr="00330D4D" w:rsidRDefault="00387153" w:rsidP="000572BE">
    <w:pPr>
      <w:pStyle w:val="ZX2Subhead"/>
      <w:rPr>
        <w:lang w:val="en-US"/>
      </w:rPr>
    </w:pPr>
    <w:r w:rsidRPr="00330D4D">
      <w:rPr>
        <w:lang w:val="en-US"/>
      </w:rPr>
      <w:t>FOR THE six months ENDED 30 June 2012</w:t>
    </w:r>
  </w:p>
  <w:p w:rsidR="00387153" w:rsidRPr="00330D4D" w:rsidRDefault="00387153" w:rsidP="000572BE">
    <w:pPr>
      <w:pStyle w:val="ZX3Currency"/>
      <w:rPr>
        <w:lang w:val="en-US"/>
      </w:rPr>
    </w:pPr>
    <w:r w:rsidRPr="00330D4D">
      <w:rPr>
        <w:lang w:val="en-US"/>
      </w:rPr>
      <w:t>(</w:t>
    </w:r>
    <w:proofErr w:type="gramStart"/>
    <w:r w:rsidRPr="00330D4D">
      <w:rPr>
        <w:lang w:val="en-US"/>
      </w:rPr>
      <w:t>in</w:t>
    </w:r>
    <w:proofErr w:type="gramEnd"/>
    <w:r w:rsidRPr="00330D4D">
      <w:rPr>
        <w:lang w:val="en-US"/>
      </w:rPr>
      <w:t xml:space="preserve"> thousands of US Dollars)</w:t>
    </w:r>
  </w:p>
  <w:p w:rsidR="00387153" w:rsidRPr="00330D4D" w:rsidRDefault="00387153" w:rsidP="000572BE">
    <w:pPr>
      <w:pStyle w:val="a4"/>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2548B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1141E1A"/>
    <w:lvl w:ilvl="0">
      <w:start w:val="1"/>
      <w:numFmt w:val="decimal"/>
      <w:pStyle w:val="5"/>
      <w:lvlText w:val="%1."/>
      <w:lvlJc w:val="left"/>
      <w:pPr>
        <w:tabs>
          <w:tab w:val="num" w:pos="1492"/>
        </w:tabs>
        <w:ind w:left="1492" w:hanging="360"/>
      </w:pPr>
    </w:lvl>
  </w:abstractNum>
  <w:abstractNum w:abstractNumId="2">
    <w:nsid w:val="FFFFFF7D"/>
    <w:multiLevelType w:val="singleLevel"/>
    <w:tmpl w:val="BEEAA394"/>
    <w:lvl w:ilvl="0">
      <w:start w:val="1"/>
      <w:numFmt w:val="decimal"/>
      <w:pStyle w:val="4"/>
      <w:lvlText w:val="%1."/>
      <w:lvlJc w:val="left"/>
      <w:pPr>
        <w:tabs>
          <w:tab w:val="num" w:pos="1209"/>
        </w:tabs>
        <w:ind w:left="1209" w:hanging="360"/>
      </w:pPr>
    </w:lvl>
  </w:abstractNum>
  <w:abstractNum w:abstractNumId="3">
    <w:nsid w:val="FFFFFF7E"/>
    <w:multiLevelType w:val="singleLevel"/>
    <w:tmpl w:val="CD8E48CA"/>
    <w:lvl w:ilvl="0">
      <w:start w:val="1"/>
      <w:numFmt w:val="lowerRoman"/>
      <w:pStyle w:val="3"/>
      <w:lvlText w:val="(%1)"/>
      <w:lvlJc w:val="left"/>
      <w:pPr>
        <w:tabs>
          <w:tab w:val="num" w:pos="953"/>
        </w:tabs>
        <w:ind w:left="953" w:hanging="477"/>
      </w:pPr>
      <w:rPr>
        <w:rFonts w:hint="default"/>
      </w:rPr>
    </w:lvl>
  </w:abstractNum>
  <w:abstractNum w:abstractNumId="4">
    <w:nsid w:val="FFFFFF7F"/>
    <w:multiLevelType w:val="singleLevel"/>
    <w:tmpl w:val="321EFC8E"/>
    <w:lvl w:ilvl="0">
      <w:start w:val="1"/>
      <w:numFmt w:val="decimal"/>
      <w:pStyle w:val="2"/>
      <w:lvlText w:val="%1."/>
      <w:lvlJc w:val="left"/>
      <w:pPr>
        <w:tabs>
          <w:tab w:val="num" w:pos="952"/>
        </w:tabs>
        <w:ind w:left="952" w:hanging="476"/>
      </w:pPr>
      <w:rPr>
        <w:rFonts w:hint="default"/>
      </w:rPr>
    </w:lvl>
  </w:abstractNum>
  <w:abstractNum w:abstractNumId="5">
    <w:nsid w:val="FFFFFF80"/>
    <w:multiLevelType w:val="singleLevel"/>
    <w:tmpl w:val="5C76B356"/>
    <w:lvl w:ilvl="0">
      <w:start w:val="1"/>
      <w:numFmt w:val="bullet"/>
      <w:pStyle w:val="50"/>
      <w:lvlText w:val=""/>
      <w:lvlJc w:val="left"/>
      <w:pPr>
        <w:tabs>
          <w:tab w:val="num" w:pos="1492"/>
        </w:tabs>
        <w:ind w:left="1492" w:hanging="360"/>
      </w:pPr>
      <w:rPr>
        <w:rFonts w:ascii="Symbol" w:hAnsi="Symbol" w:hint="default"/>
      </w:rPr>
    </w:lvl>
  </w:abstractNum>
  <w:abstractNum w:abstractNumId="6">
    <w:nsid w:val="FFFFFF81"/>
    <w:multiLevelType w:val="singleLevel"/>
    <w:tmpl w:val="8ADEFCC8"/>
    <w:lvl w:ilvl="0">
      <w:start w:val="1"/>
      <w:numFmt w:val="bullet"/>
      <w:pStyle w:val="40"/>
      <w:lvlText w:val=""/>
      <w:lvlJc w:val="left"/>
      <w:pPr>
        <w:tabs>
          <w:tab w:val="num" w:pos="1209"/>
        </w:tabs>
        <w:ind w:left="1209" w:hanging="360"/>
      </w:pPr>
      <w:rPr>
        <w:rFonts w:ascii="Symbol" w:hAnsi="Symbol" w:hint="default"/>
      </w:rPr>
    </w:lvl>
  </w:abstractNum>
  <w:abstractNum w:abstractNumId="7">
    <w:nsid w:val="FFFFFF82"/>
    <w:multiLevelType w:val="singleLevel"/>
    <w:tmpl w:val="54E8D53A"/>
    <w:lvl w:ilvl="0">
      <w:start w:val="1"/>
      <w:numFmt w:val="bullet"/>
      <w:pStyle w:val="30"/>
      <w:lvlText w:val="-"/>
      <w:lvlJc w:val="left"/>
      <w:pPr>
        <w:tabs>
          <w:tab w:val="num" w:pos="1247"/>
        </w:tabs>
        <w:ind w:left="1247" w:hanging="294"/>
      </w:pPr>
      <w:rPr>
        <w:rFonts w:ascii="Times New Roman" w:hAnsi="Times New Roman" w:cs="Times New Roman" w:hint="default"/>
      </w:rPr>
    </w:lvl>
  </w:abstractNum>
  <w:abstractNum w:abstractNumId="8">
    <w:nsid w:val="FFFFFF83"/>
    <w:multiLevelType w:val="singleLevel"/>
    <w:tmpl w:val="3C4234CC"/>
    <w:lvl w:ilvl="0">
      <w:start w:val="1"/>
      <w:numFmt w:val="bullet"/>
      <w:pStyle w:val="20"/>
      <w:lvlText w:val=""/>
      <w:lvlJc w:val="left"/>
      <w:pPr>
        <w:tabs>
          <w:tab w:val="num" w:pos="953"/>
        </w:tabs>
        <w:ind w:left="953" w:hanging="477"/>
      </w:pPr>
      <w:rPr>
        <w:rFonts w:ascii="Symbol" w:hAnsi="Symbol" w:hint="default"/>
      </w:rPr>
    </w:lvl>
  </w:abstractNum>
  <w:abstractNum w:abstractNumId="9">
    <w:nsid w:val="FFFFFF88"/>
    <w:multiLevelType w:val="singleLevel"/>
    <w:tmpl w:val="EECEE196"/>
    <w:lvl w:ilvl="0">
      <w:start w:val="1"/>
      <w:numFmt w:val="decimal"/>
      <w:pStyle w:val="a"/>
      <w:lvlText w:val="%1."/>
      <w:lvlJc w:val="left"/>
      <w:pPr>
        <w:tabs>
          <w:tab w:val="num" w:pos="476"/>
        </w:tabs>
        <w:ind w:left="476" w:hanging="476"/>
      </w:pPr>
      <w:rPr>
        <w:rFonts w:hint="default"/>
      </w:rPr>
    </w:lvl>
  </w:abstractNum>
  <w:abstractNum w:abstractNumId="10">
    <w:nsid w:val="FFFFFF89"/>
    <w:multiLevelType w:val="singleLevel"/>
    <w:tmpl w:val="9190CCD2"/>
    <w:lvl w:ilvl="0">
      <w:start w:val="1"/>
      <w:numFmt w:val="bullet"/>
      <w:pStyle w:val="a0"/>
      <w:lvlText w:val=""/>
      <w:lvlJc w:val="left"/>
      <w:pPr>
        <w:tabs>
          <w:tab w:val="num" w:pos="476"/>
        </w:tabs>
        <w:ind w:left="476" w:hanging="476"/>
      </w:pPr>
      <w:rPr>
        <w:rFonts w:ascii="Symbol" w:hAnsi="Symbol" w:hint="default"/>
      </w:rPr>
    </w:lvl>
  </w:abstractNum>
  <w:abstractNum w:abstractNumId="11">
    <w:nsid w:val="040725B7"/>
    <w:multiLevelType w:val="hybridMultilevel"/>
    <w:tmpl w:val="5760557E"/>
    <w:lvl w:ilvl="0" w:tplc="655030FA">
      <w:start w:val="1"/>
      <w:numFmt w:val="bullet"/>
      <w:pStyle w:val="tblBullet2"/>
      <w:lvlText w:val="●"/>
      <w:lvlJc w:val="left"/>
      <w:pPr>
        <w:tabs>
          <w:tab w:val="num" w:pos="612"/>
        </w:tabs>
        <w:ind w:left="612" w:hanging="249"/>
      </w:pPr>
      <w:rPr>
        <w:rFonts w:ascii="Times New Roman" w:hAnsi="Times New Roman" w:cs="Times New Roman" w:hint="default"/>
        <w:color w:val="000066"/>
        <w:sz w:val="18"/>
        <w:szCs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5AE0D7A"/>
    <w:multiLevelType w:val="multilevel"/>
    <w:tmpl w:val="0419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6347789"/>
    <w:multiLevelType w:val="hybridMultilevel"/>
    <w:tmpl w:val="0AEEA4A6"/>
    <w:lvl w:ilvl="0" w:tplc="46FE10A0">
      <w:start w:val="1"/>
      <w:numFmt w:val="lowerLetter"/>
      <w:pStyle w:val="21"/>
      <w:lvlText w:val="(%1)"/>
      <w:lvlJc w:val="left"/>
      <w:pPr>
        <w:tabs>
          <w:tab w:val="num" w:pos="953"/>
        </w:tabs>
        <w:ind w:left="953" w:hanging="4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69168AE"/>
    <w:multiLevelType w:val="hybridMultilevel"/>
    <w:tmpl w:val="BF5481B8"/>
    <w:lvl w:ilvl="0" w:tplc="2E60A17C">
      <w:start w:val="1"/>
      <w:numFmt w:val="bullet"/>
      <w:pStyle w:val="tblBullet"/>
      <w:lvlText w:val="●"/>
      <w:lvlJc w:val="left"/>
      <w:pPr>
        <w:tabs>
          <w:tab w:val="num" w:pos="363"/>
        </w:tabs>
        <w:ind w:left="363" w:hanging="250"/>
      </w:pPr>
      <w:rPr>
        <w:rFonts w:ascii="Times New Roman" w:hAnsi="Times New Roman" w:cs="Times New Roman" w:hint="default"/>
        <w:color w:val="000066"/>
        <w:sz w:val="18"/>
        <w:szCs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AE02DC7"/>
    <w:multiLevelType w:val="multilevel"/>
    <w:tmpl w:val="8F06516A"/>
    <w:lvl w:ilvl="0">
      <w:start w:val="1"/>
      <w:numFmt w:val="decimal"/>
      <w:pStyle w:val="1"/>
      <w:lvlText w:val="%1."/>
      <w:lvlJc w:val="left"/>
      <w:pPr>
        <w:tabs>
          <w:tab w:val="num" w:pos="476"/>
        </w:tabs>
        <w:ind w:left="476" w:hanging="476"/>
      </w:pPr>
      <w:rPr>
        <w:rFonts w:hint="default"/>
      </w:rPr>
    </w:lvl>
    <w:lvl w:ilvl="1">
      <w:start w:val="1"/>
      <w:numFmt w:val="none"/>
      <w:pStyle w:val="22"/>
      <w:suff w:val="nothing"/>
      <w:lvlText w:val=""/>
      <w:lvlJc w:val="left"/>
      <w:pPr>
        <w:ind w:left="476" w:firstLine="0"/>
      </w:pPr>
      <w:rPr>
        <w:rFonts w:hint="default"/>
      </w:rPr>
    </w:lvl>
    <w:lvl w:ilvl="2">
      <w:start w:val="1"/>
      <w:numFmt w:val="none"/>
      <w:pStyle w:val="31"/>
      <w:suff w:val="nothing"/>
      <w:lvlText w:val=""/>
      <w:lvlJc w:val="left"/>
      <w:pPr>
        <w:ind w:left="953" w:hanging="477"/>
      </w:pPr>
      <w:rPr>
        <w:rFonts w:hint="default"/>
      </w:rPr>
    </w:lvl>
    <w:lvl w:ilvl="3">
      <w:start w:val="1"/>
      <w:numFmt w:val="none"/>
      <w:pStyle w:val="41"/>
      <w:suff w:val="nothing"/>
      <w:lvlText w:val=""/>
      <w:lvlJc w:val="left"/>
      <w:pPr>
        <w:ind w:left="953" w:hanging="477"/>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32C57136"/>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539B2EBD"/>
    <w:multiLevelType w:val="hybridMultilevel"/>
    <w:tmpl w:val="E85474EA"/>
    <w:lvl w:ilvl="0" w:tplc="825EE306">
      <w:start w:val="1"/>
      <w:numFmt w:val="lowerLetter"/>
      <w:pStyle w:val="a2"/>
      <w:lvlText w:val="(%1)"/>
      <w:lvlJc w:val="left"/>
      <w:pPr>
        <w:tabs>
          <w:tab w:val="num" w:pos="476"/>
        </w:tabs>
        <w:ind w:left="476" w:hanging="47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72B22E6"/>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E241AD4"/>
    <w:multiLevelType w:val="hybridMultilevel"/>
    <w:tmpl w:val="BC268E14"/>
    <w:lvl w:ilvl="0" w:tplc="75F4B192">
      <w:start w:val="1"/>
      <w:numFmt w:val="lowerLetter"/>
      <w:pStyle w:val="32"/>
      <w:lvlText w:val="(%1)"/>
      <w:lvlJc w:val="left"/>
      <w:pPr>
        <w:tabs>
          <w:tab w:val="num" w:pos="1429"/>
        </w:tabs>
        <w:ind w:left="1429" w:hanging="47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6"/>
  </w:num>
  <w:num w:numId="3">
    <w:abstractNumId w:val="18"/>
  </w:num>
  <w:num w:numId="4">
    <w:abstractNumId w:val="12"/>
  </w:num>
  <w:num w:numId="5">
    <w:abstractNumId w:val="6"/>
  </w:num>
  <w:num w:numId="6">
    <w:abstractNumId w:val="5"/>
  </w:num>
  <w:num w:numId="7">
    <w:abstractNumId w:val="2"/>
  </w:num>
  <w:num w:numId="8">
    <w:abstractNumId w:val="1"/>
  </w:num>
  <w:num w:numId="9">
    <w:abstractNumId w:val="10"/>
  </w:num>
  <w:num w:numId="10">
    <w:abstractNumId w:val="8"/>
  </w:num>
  <w:num w:numId="11">
    <w:abstractNumId w:val="7"/>
  </w:num>
  <w:num w:numId="12">
    <w:abstractNumId w:val="9"/>
  </w:num>
  <w:num w:numId="13">
    <w:abstractNumId w:val="4"/>
  </w:num>
  <w:num w:numId="14">
    <w:abstractNumId w:val="3"/>
  </w:num>
  <w:num w:numId="15">
    <w:abstractNumId w:val="19"/>
  </w:num>
  <w:num w:numId="16">
    <w:abstractNumId w:val="13"/>
  </w:num>
  <w:num w:numId="17">
    <w:abstractNumId w:val="17"/>
  </w:num>
  <w:num w:numId="18">
    <w:abstractNumId w:val="14"/>
  </w:num>
  <w:num w:numId="19">
    <w:abstractNumId w:val="11"/>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9"/>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proofState w:grammar="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drawingGridHorizontalSpacing w:val="11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675"/>
    <w:rsid w:val="00000261"/>
    <w:rsid w:val="00003B13"/>
    <w:rsid w:val="0000679D"/>
    <w:rsid w:val="00007AA3"/>
    <w:rsid w:val="000267B1"/>
    <w:rsid w:val="000572BE"/>
    <w:rsid w:val="00061F97"/>
    <w:rsid w:val="000700C0"/>
    <w:rsid w:val="000A5E56"/>
    <w:rsid w:val="000E4C95"/>
    <w:rsid w:val="000F739C"/>
    <w:rsid w:val="00127D09"/>
    <w:rsid w:val="00127E79"/>
    <w:rsid w:val="00193C4B"/>
    <w:rsid w:val="001A1D61"/>
    <w:rsid w:val="001B7082"/>
    <w:rsid w:val="001C03A7"/>
    <w:rsid w:val="001D1322"/>
    <w:rsid w:val="001D461A"/>
    <w:rsid w:val="00215137"/>
    <w:rsid w:val="00227C94"/>
    <w:rsid w:val="00244E4B"/>
    <w:rsid w:val="00284334"/>
    <w:rsid w:val="00291505"/>
    <w:rsid w:val="00297111"/>
    <w:rsid w:val="002A32BC"/>
    <w:rsid w:val="002A45B2"/>
    <w:rsid w:val="002E73D5"/>
    <w:rsid w:val="002E7579"/>
    <w:rsid w:val="002F1D5B"/>
    <w:rsid w:val="00317B91"/>
    <w:rsid w:val="00330D4D"/>
    <w:rsid w:val="003374EA"/>
    <w:rsid w:val="003443ED"/>
    <w:rsid w:val="003639F2"/>
    <w:rsid w:val="00374B57"/>
    <w:rsid w:val="0037722B"/>
    <w:rsid w:val="00387153"/>
    <w:rsid w:val="0039228E"/>
    <w:rsid w:val="003B340C"/>
    <w:rsid w:val="003C7069"/>
    <w:rsid w:val="003C73B2"/>
    <w:rsid w:val="003E2C63"/>
    <w:rsid w:val="003F093D"/>
    <w:rsid w:val="004113E7"/>
    <w:rsid w:val="004820B2"/>
    <w:rsid w:val="00487482"/>
    <w:rsid w:val="004941CC"/>
    <w:rsid w:val="004C2A40"/>
    <w:rsid w:val="004F3FA7"/>
    <w:rsid w:val="00504A41"/>
    <w:rsid w:val="0054138A"/>
    <w:rsid w:val="0055616B"/>
    <w:rsid w:val="00557F4D"/>
    <w:rsid w:val="0059517B"/>
    <w:rsid w:val="005A0B85"/>
    <w:rsid w:val="005A23EC"/>
    <w:rsid w:val="005A2720"/>
    <w:rsid w:val="005A3237"/>
    <w:rsid w:val="005B7715"/>
    <w:rsid w:val="005D5A2C"/>
    <w:rsid w:val="005E1C57"/>
    <w:rsid w:val="005E47D3"/>
    <w:rsid w:val="0065170A"/>
    <w:rsid w:val="006830F1"/>
    <w:rsid w:val="00690257"/>
    <w:rsid w:val="006A371A"/>
    <w:rsid w:val="00700E3B"/>
    <w:rsid w:val="00713B92"/>
    <w:rsid w:val="007209F4"/>
    <w:rsid w:val="00743428"/>
    <w:rsid w:val="007448AA"/>
    <w:rsid w:val="007568F1"/>
    <w:rsid w:val="00764CD1"/>
    <w:rsid w:val="00770124"/>
    <w:rsid w:val="007B330D"/>
    <w:rsid w:val="0080532B"/>
    <w:rsid w:val="00814C25"/>
    <w:rsid w:val="00821069"/>
    <w:rsid w:val="00864259"/>
    <w:rsid w:val="00870753"/>
    <w:rsid w:val="008C2B6D"/>
    <w:rsid w:val="008E0D7F"/>
    <w:rsid w:val="008F3095"/>
    <w:rsid w:val="00916675"/>
    <w:rsid w:val="00926E49"/>
    <w:rsid w:val="00945F41"/>
    <w:rsid w:val="0096037B"/>
    <w:rsid w:val="00976042"/>
    <w:rsid w:val="009812AD"/>
    <w:rsid w:val="009B6818"/>
    <w:rsid w:val="009D27B2"/>
    <w:rsid w:val="009E3684"/>
    <w:rsid w:val="00A1098C"/>
    <w:rsid w:val="00A34AA8"/>
    <w:rsid w:val="00A47976"/>
    <w:rsid w:val="00A701F4"/>
    <w:rsid w:val="00A84EA0"/>
    <w:rsid w:val="00AA101D"/>
    <w:rsid w:val="00AA13C6"/>
    <w:rsid w:val="00AB0610"/>
    <w:rsid w:val="00AD1722"/>
    <w:rsid w:val="00AF0856"/>
    <w:rsid w:val="00AF493A"/>
    <w:rsid w:val="00B17A68"/>
    <w:rsid w:val="00B4709B"/>
    <w:rsid w:val="00B71A14"/>
    <w:rsid w:val="00B82B51"/>
    <w:rsid w:val="00B84D2D"/>
    <w:rsid w:val="00BC21C4"/>
    <w:rsid w:val="00BE1794"/>
    <w:rsid w:val="00BE3B13"/>
    <w:rsid w:val="00C21088"/>
    <w:rsid w:val="00C4232C"/>
    <w:rsid w:val="00C51677"/>
    <w:rsid w:val="00C801AA"/>
    <w:rsid w:val="00C93F0F"/>
    <w:rsid w:val="00CA5A3E"/>
    <w:rsid w:val="00CA5D3B"/>
    <w:rsid w:val="00CD1666"/>
    <w:rsid w:val="00CD1DFC"/>
    <w:rsid w:val="00CD393D"/>
    <w:rsid w:val="00CF0144"/>
    <w:rsid w:val="00CF5914"/>
    <w:rsid w:val="00D2556E"/>
    <w:rsid w:val="00D25746"/>
    <w:rsid w:val="00D2640B"/>
    <w:rsid w:val="00D526D9"/>
    <w:rsid w:val="00D677DF"/>
    <w:rsid w:val="00E34A58"/>
    <w:rsid w:val="00E369E4"/>
    <w:rsid w:val="00E53001"/>
    <w:rsid w:val="00E77DB7"/>
    <w:rsid w:val="00EA241F"/>
    <w:rsid w:val="00EB76CC"/>
    <w:rsid w:val="00ED546E"/>
    <w:rsid w:val="00EF355B"/>
    <w:rsid w:val="00F22941"/>
    <w:rsid w:val="00F33E16"/>
    <w:rsid w:val="00F66D2A"/>
    <w:rsid w:val="00FA1CCC"/>
    <w:rsid w:val="00FB78A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916675"/>
    <w:rPr>
      <w:sz w:val="22"/>
      <w:szCs w:val="24"/>
      <w:lang w:val="en-US" w:eastAsia="ja-JP"/>
    </w:rPr>
  </w:style>
  <w:style w:type="paragraph" w:styleId="1">
    <w:name w:val="heading 1"/>
    <w:basedOn w:val="a4"/>
    <w:next w:val="23"/>
    <w:link w:val="10"/>
    <w:qFormat/>
    <w:rsid w:val="004941CC"/>
    <w:pPr>
      <w:keepNext/>
      <w:numPr>
        <w:numId w:val="1"/>
      </w:numPr>
      <w:outlineLvl w:val="0"/>
    </w:pPr>
    <w:rPr>
      <w:b/>
      <w:bCs/>
      <w:caps/>
    </w:rPr>
  </w:style>
  <w:style w:type="paragraph" w:styleId="22">
    <w:name w:val="heading 2"/>
    <w:aliases w:val="h2,h2 main heading,B Sub/Bold,12 Sub/Bold,Heading 2 Char,Heading 2 Char1 Char,Heading 2 Char Char Char,Heading 2 Char1 Char Char Char,Heading 2 Char Char Char Char Char,Heading 2 Char1 Char Char Char Char Char,h2 Char,level2,Major"/>
    <w:basedOn w:val="1"/>
    <w:next w:val="23"/>
    <w:link w:val="24"/>
    <w:qFormat/>
    <w:rsid w:val="004941CC"/>
    <w:pPr>
      <w:numPr>
        <w:ilvl w:val="1"/>
      </w:numPr>
      <w:outlineLvl w:val="1"/>
    </w:pPr>
    <w:rPr>
      <w:bCs w:val="0"/>
      <w:iCs/>
      <w:caps w:val="0"/>
    </w:rPr>
  </w:style>
  <w:style w:type="paragraph" w:styleId="31">
    <w:name w:val="heading 3"/>
    <w:aliases w:val="h3 sub heading,C Sub-Sub/Italic,13 Sub-Sub/Italic,Heading 3 Char,Heading 3 Char1 Char,Heading 3 Char Char Char1,Heading 3 Char1 Char Char Char,Heading 3 Char Char Char1 Char1 Char,Heading 3 Char2 Char Char Char Char Char"/>
    <w:basedOn w:val="22"/>
    <w:next w:val="23"/>
    <w:link w:val="33"/>
    <w:qFormat/>
    <w:rsid w:val="004941CC"/>
    <w:pPr>
      <w:numPr>
        <w:ilvl w:val="2"/>
      </w:numPr>
      <w:outlineLvl w:val="2"/>
    </w:pPr>
    <w:rPr>
      <w:bCs/>
      <w:i/>
      <w:szCs w:val="26"/>
    </w:rPr>
  </w:style>
  <w:style w:type="paragraph" w:styleId="41">
    <w:name w:val="heading 4"/>
    <w:aliases w:val="Heading 4 Char,Heading 4 Char1 Char1,Heading 4 Char Char Char,Heading 4 Char1 Char1 Char Char,Heading 4 Char Char Char Char Char,Heading 4 Char1 Char1 Char Char Char Char,Heading 4 Char Char Char Char Char Char Char,H4 Char Char Char Char"/>
    <w:basedOn w:val="31"/>
    <w:next w:val="23"/>
    <w:link w:val="42"/>
    <w:qFormat/>
    <w:rsid w:val="004941CC"/>
    <w:pPr>
      <w:numPr>
        <w:ilvl w:val="3"/>
      </w:numPr>
      <w:outlineLvl w:val="3"/>
    </w:pPr>
    <w:rPr>
      <w:b w:val="0"/>
      <w:bCs w:val="0"/>
      <w:i w:val="0"/>
      <w:szCs w:val="28"/>
      <w:u w:val="single"/>
    </w:rPr>
  </w:style>
  <w:style w:type="paragraph" w:styleId="51">
    <w:name w:val="heading 5"/>
    <w:aliases w:val="Heading 5 Char1,Heading 5 Char Char,Heading 5 Char2 Char Char,Heading 5 Char Char1 Char Char,Level 3 - i Char Char Char Char1,H5 Char Char Char Char1,Heading 5 Char1 Char Char Char Char Char,Heading 5 Char Char Char Char Char Char Char,H5 Ch"/>
    <w:basedOn w:val="a3"/>
    <w:next w:val="a3"/>
    <w:link w:val="52"/>
    <w:qFormat/>
    <w:rsid w:val="00743428"/>
    <w:pPr>
      <w:spacing w:before="240" w:after="60"/>
      <w:outlineLvl w:val="4"/>
    </w:pPr>
    <w:rPr>
      <w:b/>
      <w:bCs/>
      <w:i/>
      <w:iCs/>
      <w:sz w:val="26"/>
      <w:szCs w:val="26"/>
      <w:lang w:val="x-none"/>
    </w:rPr>
  </w:style>
  <w:style w:type="paragraph" w:styleId="6">
    <w:name w:val="heading 6"/>
    <w:aliases w:val="Legal Level 1.,H6"/>
    <w:basedOn w:val="a3"/>
    <w:next w:val="a3"/>
    <w:link w:val="60"/>
    <w:qFormat/>
    <w:rsid w:val="00743428"/>
    <w:pPr>
      <w:spacing w:before="240" w:after="60"/>
      <w:outlineLvl w:val="5"/>
    </w:pPr>
    <w:rPr>
      <w:b/>
      <w:bCs/>
      <w:szCs w:val="22"/>
      <w:lang w:val="x-none"/>
    </w:rPr>
  </w:style>
  <w:style w:type="paragraph" w:styleId="7">
    <w:name w:val="heading 7"/>
    <w:aliases w:val="Legal Level 1.1."/>
    <w:basedOn w:val="a3"/>
    <w:next w:val="a3"/>
    <w:link w:val="70"/>
    <w:qFormat/>
    <w:rsid w:val="00743428"/>
    <w:pPr>
      <w:spacing w:before="240" w:after="60"/>
      <w:outlineLvl w:val="6"/>
    </w:pPr>
    <w:rPr>
      <w:sz w:val="24"/>
      <w:lang w:val="x-none"/>
    </w:rPr>
  </w:style>
  <w:style w:type="paragraph" w:styleId="8">
    <w:name w:val="heading 8"/>
    <w:aliases w:val="AppendixSubHead,Legal Level 1.1.1."/>
    <w:basedOn w:val="a3"/>
    <w:next w:val="a3"/>
    <w:link w:val="80"/>
    <w:qFormat/>
    <w:rsid w:val="00743428"/>
    <w:pPr>
      <w:spacing w:before="240" w:after="60"/>
      <w:outlineLvl w:val="7"/>
    </w:pPr>
    <w:rPr>
      <w:i/>
      <w:iCs/>
      <w:sz w:val="24"/>
      <w:lang w:val="x-none"/>
    </w:rPr>
  </w:style>
  <w:style w:type="paragraph" w:styleId="9">
    <w:name w:val="heading 9"/>
    <w:aliases w:val="AppendixBodyHead,Legal Level 1.1.1.1."/>
    <w:basedOn w:val="a3"/>
    <w:next w:val="a3"/>
    <w:link w:val="90"/>
    <w:qFormat/>
    <w:rsid w:val="00743428"/>
    <w:pPr>
      <w:spacing w:before="240" w:after="60"/>
      <w:outlineLvl w:val="8"/>
    </w:pPr>
    <w:rPr>
      <w:rFonts w:ascii="Arial" w:hAnsi="Arial"/>
      <w:szCs w:val="22"/>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Z03Arial11">
    <w:name w:val="Z0_3Arial11"/>
    <w:basedOn w:val="a4"/>
    <w:rsid w:val="00743428"/>
    <w:rPr>
      <w:rFonts w:cs="Arial"/>
    </w:rPr>
  </w:style>
  <w:style w:type="paragraph" w:styleId="a4">
    <w:name w:val="Body Text"/>
    <w:link w:val="a8"/>
    <w:rsid w:val="00127E79"/>
    <w:rPr>
      <w:rFonts w:ascii="Arial" w:eastAsia="Arial Unicode MS" w:hAnsi="Arial"/>
      <w:szCs w:val="22"/>
    </w:rPr>
  </w:style>
  <w:style w:type="paragraph" w:customStyle="1" w:styleId="Z01Arial22CompanyName">
    <w:name w:val="Z0_1Arial22_CompanyName"/>
    <w:basedOn w:val="Z03Arial11"/>
    <w:next w:val="Z02Arial16Blank"/>
    <w:rsid w:val="00127E79"/>
    <w:rPr>
      <w:rFonts w:ascii="Times New Roman" w:hAnsi="Times New Roman"/>
      <w:b/>
      <w:spacing w:val="-2"/>
      <w:sz w:val="48"/>
      <w:szCs w:val="44"/>
    </w:rPr>
  </w:style>
  <w:style w:type="paragraph" w:customStyle="1" w:styleId="Z02Arial16Blank">
    <w:name w:val="Z0_2Arial16_Blank"/>
    <w:basedOn w:val="Z03Arial11"/>
    <w:next w:val="Z03Arial11"/>
    <w:rsid w:val="00743428"/>
    <w:rPr>
      <w:sz w:val="32"/>
      <w:szCs w:val="32"/>
    </w:rPr>
  </w:style>
  <w:style w:type="paragraph" w:customStyle="1" w:styleId="Z1CompanyName14">
    <w:name w:val="Z1_CompanyName_14"/>
    <w:basedOn w:val="Z03Arial11"/>
    <w:next w:val="Z03Arial11"/>
    <w:rsid w:val="00743428"/>
    <w:rPr>
      <w:b/>
      <w:caps/>
      <w:sz w:val="28"/>
      <w:szCs w:val="28"/>
    </w:rPr>
  </w:style>
  <w:style w:type="paragraph" w:customStyle="1" w:styleId="Z1Contents">
    <w:name w:val="Z1_Contents"/>
    <w:basedOn w:val="Z03Arial11"/>
    <w:next w:val="Z03Arial11"/>
    <w:rsid w:val="00743428"/>
    <w:pPr>
      <w:pBdr>
        <w:bottom w:val="single" w:sz="6" w:space="2" w:color="auto"/>
      </w:pBdr>
      <w:ind w:right="28"/>
    </w:pPr>
    <w:rPr>
      <w:b/>
      <w:caps/>
    </w:rPr>
  </w:style>
  <w:style w:type="paragraph" w:customStyle="1" w:styleId="Z1Pagewd">
    <w:name w:val="Z1_Page_wd"/>
    <w:basedOn w:val="Z03Arial11"/>
    <w:next w:val="11"/>
    <w:rsid w:val="00743428"/>
    <w:pPr>
      <w:jc w:val="right"/>
    </w:pPr>
    <w:rPr>
      <w:b/>
    </w:rPr>
  </w:style>
  <w:style w:type="paragraph" w:styleId="11">
    <w:name w:val="toc 1"/>
    <w:basedOn w:val="a4"/>
    <w:next w:val="a3"/>
    <w:rsid w:val="009E3684"/>
    <w:pPr>
      <w:tabs>
        <w:tab w:val="right" w:pos="9412"/>
      </w:tabs>
      <w:ind w:right="680"/>
    </w:pPr>
    <w:rPr>
      <w:caps/>
    </w:rPr>
  </w:style>
  <w:style w:type="paragraph" w:customStyle="1" w:styleId="Z2Opinion">
    <w:name w:val="Z2_Opinion"/>
    <w:basedOn w:val="Z03Arial11"/>
    <w:next w:val="a4"/>
    <w:rsid w:val="00743428"/>
    <w:rPr>
      <w:b/>
      <w:caps/>
    </w:rPr>
  </w:style>
  <w:style w:type="paragraph" w:customStyle="1" w:styleId="ZX1CompanyName12">
    <w:name w:val="ZX_1CompanyName_12"/>
    <w:basedOn w:val="Z03Arial11"/>
    <w:rsid w:val="00743428"/>
    <w:rPr>
      <w:b/>
      <w:caps/>
      <w:sz w:val="24"/>
      <w:szCs w:val="24"/>
    </w:rPr>
  </w:style>
  <w:style w:type="paragraph" w:customStyle="1" w:styleId="ZX2Subhead">
    <w:name w:val="ZX_2Subhead"/>
    <w:basedOn w:val="Z03Arial11"/>
    <w:next w:val="a4"/>
    <w:rsid w:val="00743428"/>
    <w:rPr>
      <w:b/>
      <w:caps/>
      <w:szCs w:val="20"/>
    </w:rPr>
  </w:style>
  <w:style w:type="paragraph" w:customStyle="1" w:styleId="ZX3Currency">
    <w:name w:val="ZX_3Currency"/>
    <w:basedOn w:val="Z03Arial11"/>
    <w:next w:val="a4"/>
    <w:rsid w:val="00743428"/>
    <w:pPr>
      <w:pBdr>
        <w:bottom w:val="single" w:sz="6" w:space="0" w:color="auto"/>
      </w:pBdr>
      <w:ind w:right="28"/>
    </w:pPr>
    <w:rPr>
      <w:b/>
      <w:i/>
      <w:szCs w:val="20"/>
    </w:rPr>
  </w:style>
  <w:style w:type="paragraph" w:customStyle="1" w:styleId="tblText00">
    <w:name w:val="tbl'Text_00"/>
    <w:basedOn w:val="a4"/>
    <w:rsid w:val="00127E79"/>
    <w:rPr>
      <w:sz w:val="18"/>
      <w:szCs w:val="20"/>
      <w:lang w:eastAsia="en-US"/>
    </w:rPr>
  </w:style>
  <w:style w:type="paragraph" w:customStyle="1" w:styleId="tblHeaderText">
    <w:name w:val="tbl'HeaderText"/>
    <w:basedOn w:val="tblText00"/>
    <w:rsid w:val="00127E79"/>
    <w:pPr>
      <w:jc w:val="center"/>
    </w:pPr>
    <w:rPr>
      <w:b/>
      <w:spacing w:val="-2"/>
    </w:rPr>
  </w:style>
  <w:style w:type="paragraph" w:customStyle="1" w:styleId="tblNumber00">
    <w:name w:val="tbl'Number_00"/>
    <w:basedOn w:val="tblText00"/>
    <w:rsid w:val="00127E79"/>
    <w:pPr>
      <w:jc w:val="right"/>
    </w:pPr>
  </w:style>
  <w:style w:type="paragraph" w:customStyle="1" w:styleId="tblNumber01">
    <w:name w:val="tbl'Number_01"/>
    <w:basedOn w:val="tblText00"/>
    <w:rsid w:val="00127E79"/>
    <w:pPr>
      <w:ind w:right="57"/>
      <w:jc w:val="right"/>
    </w:pPr>
  </w:style>
  <w:style w:type="paragraph" w:customStyle="1" w:styleId="tblNumberDash">
    <w:name w:val="tbl'Number_Dash"/>
    <w:basedOn w:val="tblText00"/>
    <w:rsid w:val="00127E79"/>
    <w:pPr>
      <w:ind w:right="74"/>
      <w:jc w:val="right"/>
    </w:pPr>
  </w:style>
  <w:style w:type="paragraph" w:customStyle="1" w:styleId="tblText02">
    <w:name w:val="tbl'Text_02"/>
    <w:basedOn w:val="tblText00"/>
    <w:rsid w:val="00743428"/>
    <w:pPr>
      <w:ind w:left="113" w:hanging="113"/>
    </w:pPr>
  </w:style>
  <w:style w:type="paragraph" w:customStyle="1" w:styleId="tblText05">
    <w:name w:val="tbl'Text_05"/>
    <w:basedOn w:val="tblText02"/>
    <w:rsid w:val="00743428"/>
    <w:pPr>
      <w:ind w:left="397"/>
    </w:pPr>
  </w:style>
  <w:style w:type="paragraph" w:customStyle="1" w:styleId="tblText10">
    <w:name w:val="tbl'Text_10"/>
    <w:basedOn w:val="tblText05"/>
    <w:rsid w:val="00743428"/>
    <w:pPr>
      <w:ind w:left="680"/>
    </w:pPr>
  </w:style>
  <w:style w:type="paragraph" w:customStyle="1" w:styleId="tblText15">
    <w:name w:val="tbl'Text_15"/>
    <w:basedOn w:val="tblText10"/>
    <w:rsid w:val="00743428"/>
    <w:pPr>
      <w:ind w:left="964"/>
    </w:pPr>
  </w:style>
  <w:style w:type="paragraph" w:customStyle="1" w:styleId="tblTextRegCaps">
    <w:name w:val="tbl'Text_Reg_Caps"/>
    <w:basedOn w:val="tblText02"/>
    <w:rsid w:val="00743428"/>
    <w:rPr>
      <w:caps/>
    </w:rPr>
  </w:style>
  <w:style w:type="table" w:customStyle="1" w:styleId="MLTable">
    <w:name w:val="ML Table"/>
    <w:basedOn w:val="a9"/>
    <w:semiHidden/>
    <w:rsid w:val="00743428"/>
    <w:pPr>
      <w:spacing w:before="40" w:after="40"/>
    </w:pPr>
    <w:tblPr>
      <w:jc w:val="center"/>
      <w:tblInd w:w="0" w:type="dxa"/>
      <w:tblBorders>
        <w:top w:val="single" w:sz="4" w:space="0" w:color="auto"/>
        <w:left w:val="single" w:sz="4" w:space="0" w:color="auto"/>
        <w:bottom w:val="single" w:sz="4" w:space="0" w:color="auto"/>
        <w:right w:val="single" w:sz="4" w:space="0" w:color="auto"/>
        <w:insideV w:val="single" w:sz="4" w:space="0" w:color="auto"/>
      </w:tblBorders>
      <w:tblCellMar>
        <w:top w:w="0" w:type="dxa"/>
        <w:left w:w="28" w:type="dxa"/>
        <w:bottom w:w="0" w:type="dxa"/>
        <w:right w:w="28" w:type="dxa"/>
      </w:tblCellMar>
    </w:tblPr>
    <w:trPr>
      <w:jc w:val="center"/>
    </w:trPr>
    <w:tblStylePr w:type="firstRow">
      <w:pPr>
        <w:jc w:val="center"/>
      </w:pPr>
      <w:rPr>
        <w:b/>
        <w:sz w:val="20"/>
      </w:rPr>
      <w:tblPr/>
      <w:tcPr>
        <w:tcBorders>
          <w:top w:val="double" w:sz="4" w:space="0" w:color="auto"/>
          <w:bottom w:val="double" w:sz="4" w:space="0" w:color="auto"/>
        </w:tcBorders>
      </w:tcPr>
    </w:tblStylePr>
  </w:style>
  <w:style w:type="table" w:styleId="a9">
    <w:name w:val="Table Grid"/>
    <w:basedOn w:val="a6"/>
    <w:semiHidden/>
    <w:rsid w:val="00743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rsid w:val="00743428"/>
    <w:rPr>
      <w:sz w:val="22"/>
      <w:szCs w:val="22"/>
    </w:rPr>
  </w:style>
  <w:style w:type="paragraph" w:styleId="23">
    <w:name w:val="Body Text 2"/>
    <w:basedOn w:val="a4"/>
    <w:link w:val="25"/>
    <w:rsid w:val="00743428"/>
    <w:pPr>
      <w:ind w:left="476"/>
    </w:pPr>
    <w:rPr>
      <w:color w:val="000066"/>
    </w:rPr>
  </w:style>
  <w:style w:type="paragraph" w:styleId="34">
    <w:name w:val="Body Text 3"/>
    <w:basedOn w:val="a4"/>
    <w:rsid w:val="00127E79"/>
    <w:rPr>
      <w:sz w:val="18"/>
      <w:szCs w:val="16"/>
    </w:rPr>
  </w:style>
  <w:style w:type="paragraph" w:customStyle="1" w:styleId="Disclaimer">
    <w:name w:val="Disclaimer"/>
    <w:basedOn w:val="a4"/>
    <w:rsid w:val="00743428"/>
    <w:pPr>
      <w:jc w:val="center"/>
    </w:pPr>
    <w:rPr>
      <w:caps/>
      <w:sz w:val="14"/>
      <w:szCs w:val="16"/>
    </w:rPr>
  </w:style>
  <w:style w:type="character" w:styleId="ab">
    <w:name w:val="Emphasis"/>
    <w:qFormat/>
    <w:rsid w:val="00743428"/>
    <w:rPr>
      <w:b/>
      <w:i/>
      <w:iCs/>
    </w:rPr>
  </w:style>
  <w:style w:type="paragraph" w:styleId="ac">
    <w:name w:val="footer"/>
    <w:basedOn w:val="a4"/>
    <w:link w:val="ad"/>
    <w:uiPriority w:val="99"/>
    <w:rsid w:val="00127E79"/>
    <w:pPr>
      <w:tabs>
        <w:tab w:val="center" w:pos="4706"/>
      </w:tabs>
      <w:spacing w:before="240"/>
      <w:jc w:val="center"/>
    </w:pPr>
    <w:rPr>
      <w:sz w:val="18"/>
    </w:rPr>
  </w:style>
  <w:style w:type="character" w:styleId="ae">
    <w:name w:val="footnote reference"/>
    <w:rsid w:val="00743428"/>
    <w:rPr>
      <w:vertAlign w:val="superscript"/>
    </w:rPr>
  </w:style>
  <w:style w:type="paragraph" w:styleId="af">
    <w:name w:val="footnote text"/>
    <w:basedOn w:val="a4"/>
    <w:rsid w:val="00821069"/>
    <w:pPr>
      <w:ind w:left="589" w:hanging="113"/>
    </w:pPr>
    <w:rPr>
      <w:sz w:val="18"/>
      <w:szCs w:val="20"/>
    </w:rPr>
  </w:style>
  <w:style w:type="paragraph" w:customStyle="1" w:styleId="GreyBox">
    <w:name w:val="GreyBox"/>
    <w:basedOn w:val="a4"/>
    <w:rsid w:val="00127E79"/>
    <w:pPr>
      <w:keepNext/>
      <w:pageBreakBefore/>
      <w:widowControl w:val="0"/>
      <w:pBdr>
        <w:top w:val="double" w:sz="6" w:space="6" w:color="auto"/>
        <w:left w:val="double" w:sz="6" w:space="0" w:color="auto"/>
        <w:bottom w:val="double" w:sz="6" w:space="0" w:color="auto"/>
        <w:right w:val="double" w:sz="6" w:space="0" w:color="auto"/>
      </w:pBdr>
      <w:shd w:val="pct5" w:color="auto" w:fill="auto"/>
      <w:suppressAutoHyphens/>
      <w:spacing w:before="240" w:line="360" w:lineRule="auto"/>
      <w:ind w:left="57" w:right="57"/>
      <w:jc w:val="center"/>
    </w:pPr>
    <w:rPr>
      <w:b/>
      <w:caps/>
      <w:sz w:val="18"/>
    </w:rPr>
  </w:style>
  <w:style w:type="paragraph" w:styleId="af0">
    <w:name w:val="header"/>
    <w:basedOn w:val="a4"/>
    <w:rsid w:val="00127E79"/>
    <w:pPr>
      <w:widowControl w:val="0"/>
      <w:suppressAutoHyphens/>
      <w:spacing w:after="220"/>
      <w:jc w:val="right"/>
    </w:pPr>
    <w:rPr>
      <w:b/>
      <w:caps/>
      <w:sz w:val="18"/>
      <w:szCs w:val="20"/>
      <w:lang w:eastAsia="en-US"/>
    </w:rPr>
  </w:style>
  <w:style w:type="paragraph" w:customStyle="1" w:styleId="MLFooter">
    <w:name w:val="ML Footer"/>
    <w:basedOn w:val="a4"/>
    <w:semiHidden/>
    <w:rsid w:val="00743428"/>
    <w:pPr>
      <w:pBdr>
        <w:top w:val="single" w:sz="6" w:space="0" w:color="auto"/>
      </w:pBdr>
      <w:tabs>
        <w:tab w:val="right" w:pos="8789"/>
      </w:tabs>
      <w:spacing w:before="240"/>
      <w:ind w:right="28"/>
      <w:jc w:val="both"/>
    </w:pPr>
    <w:rPr>
      <w:i/>
      <w:sz w:val="24"/>
    </w:rPr>
  </w:style>
  <w:style w:type="paragraph" w:customStyle="1" w:styleId="MLHeader">
    <w:name w:val="ML Header"/>
    <w:basedOn w:val="a4"/>
    <w:semiHidden/>
    <w:rsid w:val="00743428"/>
    <w:pPr>
      <w:pBdr>
        <w:bottom w:val="single" w:sz="6" w:space="0" w:color="auto"/>
      </w:pBdr>
      <w:spacing w:after="220"/>
      <w:ind w:right="28"/>
      <w:jc w:val="both"/>
    </w:pPr>
    <w:rPr>
      <w:b/>
      <w:i/>
    </w:rPr>
  </w:style>
  <w:style w:type="numbering" w:styleId="111111">
    <w:name w:val="Outline List 2"/>
    <w:basedOn w:val="a7"/>
    <w:semiHidden/>
    <w:rsid w:val="00743428"/>
    <w:pPr>
      <w:numPr>
        <w:numId w:val="2"/>
      </w:numPr>
    </w:pPr>
  </w:style>
  <w:style w:type="numbering" w:styleId="1ai">
    <w:name w:val="Outline List 1"/>
    <w:basedOn w:val="a7"/>
    <w:semiHidden/>
    <w:rsid w:val="00743428"/>
    <w:pPr>
      <w:numPr>
        <w:numId w:val="3"/>
      </w:numPr>
    </w:pPr>
  </w:style>
  <w:style w:type="numbering" w:styleId="a1">
    <w:name w:val="Outline List 3"/>
    <w:basedOn w:val="a7"/>
    <w:semiHidden/>
    <w:rsid w:val="00743428"/>
    <w:pPr>
      <w:numPr>
        <w:numId w:val="4"/>
      </w:numPr>
    </w:pPr>
  </w:style>
  <w:style w:type="paragraph" w:styleId="af1">
    <w:name w:val="Block Text"/>
    <w:basedOn w:val="a3"/>
    <w:semiHidden/>
    <w:rsid w:val="00743428"/>
    <w:pPr>
      <w:spacing w:after="120"/>
      <w:ind w:left="1440" w:right="1440"/>
    </w:pPr>
    <w:rPr>
      <w:lang w:val="ru-RU"/>
    </w:rPr>
  </w:style>
  <w:style w:type="paragraph" w:styleId="af2">
    <w:name w:val="Body Text First Indent"/>
    <w:basedOn w:val="a4"/>
    <w:semiHidden/>
    <w:rsid w:val="00743428"/>
    <w:pPr>
      <w:spacing w:after="120"/>
      <w:ind w:firstLine="210"/>
    </w:pPr>
    <w:rPr>
      <w:szCs w:val="24"/>
    </w:rPr>
  </w:style>
  <w:style w:type="paragraph" w:styleId="af3">
    <w:name w:val="Body Text Indent"/>
    <w:basedOn w:val="a3"/>
    <w:semiHidden/>
    <w:rsid w:val="00743428"/>
    <w:pPr>
      <w:spacing w:after="120"/>
      <w:ind w:left="283"/>
    </w:pPr>
    <w:rPr>
      <w:lang w:val="ru-RU"/>
    </w:rPr>
  </w:style>
  <w:style w:type="paragraph" w:styleId="26">
    <w:name w:val="Body Text First Indent 2"/>
    <w:basedOn w:val="af3"/>
    <w:semiHidden/>
    <w:rsid w:val="00743428"/>
    <w:pPr>
      <w:ind w:firstLine="210"/>
    </w:pPr>
  </w:style>
  <w:style w:type="paragraph" w:styleId="27">
    <w:name w:val="Body Text Indent 2"/>
    <w:basedOn w:val="a3"/>
    <w:semiHidden/>
    <w:rsid w:val="00743428"/>
    <w:pPr>
      <w:spacing w:after="120" w:line="480" w:lineRule="auto"/>
      <w:ind w:left="283"/>
    </w:pPr>
    <w:rPr>
      <w:lang w:val="ru-RU"/>
    </w:rPr>
  </w:style>
  <w:style w:type="paragraph" w:styleId="35">
    <w:name w:val="Body Text Indent 3"/>
    <w:basedOn w:val="a3"/>
    <w:semiHidden/>
    <w:rsid w:val="00743428"/>
    <w:pPr>
      <w:spacing w:after="120"/>
      <w:ind w:left="283"/>
    </w:pPr>
    <w:rPr>
      <w:sz w:val="16"/>
      <w:szCs w:val="16"/>
      <w:lang w:val="ru-RU"/>
    </w:rPr>
  </w:style>
  <w:style w:type="paragraph" w:styleId="af4">
    <w:name w:val="Closing"/>
    <w:basedOn w:val="a3"/>
    <w:semiHidden/>
    <w:rsid w:val="00743428"/>
    <w:pPr>
      <w:ind w:left="4252"/>
    </w:pPr>
    <w:rPr>
      <w:lang w:val="ru-RU"/>
    </w:rPr>
  </w:style>
  <w:style w:type="paragraph" w:styleId="af5">
    <w:name w:val="Date"/>
    <w:basedOn w:val="a3"/>
    <w:next w:val="a3"/>
    <w:semiHidden/>
    <w:rsid w:val="00743428"/>
    <w:rPr>
      <w:lang w:val="ru-RU"/>
    </w:rPr>
  </w:style>
  <w:style w:type="paragraph" w:styleId="af6">
    <w:name w:val="E-mail Signature"/>
    <w:basedOn w:val="a3"/>
    <w:semiHidden/>
    <w:rsid w:val="00743428"/>
    <w:rPr>
      <w:lang w:val="ru-RU"/>
    </w:rPr>
  </w:style>
  <w:style w:type="paragraph" w:styleId="af7">
    <w:name w:val="envelope address"/>
    <w:basedOn w:val="a3"/>
    <w:semiHidden/>
    <w:rsid w:val="00743428"/>
    <w:pPr>
      <w:framePr w:w="7920" w:h="1980" w:hRule="exact" w:hSpace="180" w:wrap="auto" w:hAnchor="page" w:xAlign="center" w:yAlign="bottom"/>
      <w:ind w:left="2880"/>
    </w:pPr>
    <w:rPr>
      <w:rFonts w:ascii="Arial" w:hAnsi="Arial" w:cs="Arial"/>
      <w:sz w:val="24"/>
      <w:lang w:val="ru-RU"/>
    </w:rPr>
  </w:style>
  <w:style w:type="paragraph" w:styleId="28">
    <w:name w:val="envelope return"/>
    <w:basedOn w:val="a3"/>
    <w:semiHidden/>
    <w:rsid w:val="00743428"/>
    <w:rPr>
      <w:rFonts w:ascii="Arial" w:hAnsi="Arial" w:cs="Arial"/>
      <w:sz w:val="20"/>
      <w:szCs w:val="20"/>
      <w:lang w:val="ru-RU"/>
    </w:rPr>
  </w:style>
  <w:style w:type="character" w:styleId="af8">
    <w:name w:val="FollowedHyperlink"/>
    <w:semiHidden/>
    <w:rsid w:val="00743428"/>
    <w:rPr>
      <w:color w:val="800080"/>
      <w:u w:val="single"/>
    </w:rPr>
  </w:style>
  <w:style w:type="character" w:styleId="HTML">
    <w:name w:val="HTML Acronym"/>
    <w:basedOn w:val="a5"/>
    <w:semiHidden/>
    <w:rsid w:val="00743428"/>
  </w:style>
  <w:style w:type="paragraph" w:styleId="HTML0">
    <w:name w:val="HTML Address"/>
    <w:basedOn w:val="a3"/>
    <w:semiHidden/>
    <w:rsid w:val="00743428"/>
    <w:rPr>
      <w:i/>
      <w:iCs/>
      <w:lang w:val="ru-RU"/>
    </w:rPr>
  </w:style>
  <w:style w:type="character" w:styleId="HTML1">
    <w:name w:val="HTML Cite"/>
    <w:semiHidden/>
    <w:rsid w:val="00743428"/>
    <w:rPr>
      <w:i/>
      <w:iCs/>
    </w:rPr>
  </w:style>
  <w:style w:type="character" w:styleId="HTML2">
    <w:name w:val="HTML Code"/>
    <w:semiHidden/>
    <w:rsid w:val="00743428"/>
    <w:rPr>
      <w:rFonts w:ascii="Courier New" w:hAnsi="Courier New" w:cs="Courier New"/>
      <w:sz w:val="20"/>
      <w:szCs w:val="20"/>
    </w:rPr>
  </w:style>
  <w:style w:type="character" w:styleId="HTML3">
    <w:name w:val="HTML Definition"/>
    <w:semiHidden/>
    <w:rsid w:val="00743428"/>
    <w:rPr>
      <w:i/>
      <w:iCs/>
    </w:rPr>
  </w:style>
  <w:style w:type="character" w:styleId="HTML4">
    <w:name w:val="HTML Keyboard"/>
    <w:semiHidden/>
    <w:rsid w:val="00743428"/>
    <w:rPr>
      <w:rFonts w:ascii="Courier New" w:hAnsi="Courier New" w:cs="Courier New"/>
      <w:sz w:val="20"/>
      <w:szCs w:val="20"/>
    </w:rPr>
  </w:style>
  <w:style w:type="paragraph" w:styleId="HTML5">
    <w:name w:val="HTML Preformatted"/>
    <w:basedOn w:val="a3"/>
    <w:semiHidden/>
    <w:rsid w:val="00743428"/>
    <w:rPr>
      <w:rFonts w:ascii="Courier New" w:hAnsi="Courier New" w:cs="Courier New"/>
      <w:sz w:val="20"/>
      <w:szCs w:val="20"/>
      <w:lang w:val="ru-RU"/>
    </w:rPr>
  </w:style>
  <w:style w:type="character" w:styleId="HTML6">
    <w:name w:val="HTML Sample"/>
    <w:semiHidden/>
    <w:rsid w:val="00743428"/>
    <w:rPr>
      <w:rFonts w:ascii="Courier New" w:hAnsi="Courier New" w:cs="Courier New"/>
    </w:rPr>
  </w:style>
  <w:style w:type="character" w:styleId="HTML7">
    <w:name w:val="HTML Typewriter"/>
    <w:semiHidden/>
    <w:rsid w:val="00743428"/>
    <w:rPr>
      <w:rFonts w:ascii="Courier New" w:hAnsi="Courier New" w:cs="Courier New"/>
      <w:sz w:val="20"/>
      <w:szCs w:val="20"/>
    </w:rPr>
  </w:style>
  <w:style w:type="character" w:styleId="HTML8">
    <w:name w:val="HTML Variable"/>
    <w:semiHidden/>
    <w:rsid w:val="00743428"/>
    <w:rPr>
      <w:i/>
      <w:iCs/>
    </w:rPr>
  </w:style>
  <w:style w:type="character" w:styleId="af9">
    <w:name w:val="Hyperlink"/>
    <w:semiHidden/>
    <w:rsid w:val="00743428"/>
    <w:rPr>
      <w:color w:val="0000FF"/>
      <w:u w:val="single"/>
    </w:rPr>
  </w:style>
  <w:style w:type="character" w:styleId="afa">
    <w:name w:val="line number"/>
    <w:basedOn w:val="a5"/>
    <w:semiHidden/>
    <w:rsid w:val="00743428"/>
  </w:style>
  <w:style w:type="paragraph" w:styleId="43">
    <w:name w:val="List 4"/>
    <w:basedOn w:val="a3"/>
    <w:semiHidden/>
    <w:rsid w:val="00743428"/>
    <w:pPr>
      <w:ind w:left="1132" w:hanging="283"/>
    </w:pPr>
    <w:rPr>
      <w:lang w:val="ru-RU"/>
    </w:rPr>
  </w:style>
  <w:style w:type="paragraph" w:styleId="53">
    <w:name w:val="List 5"/>
    <w:basedOn w:val="a3"/>
    <w:semiHidden/>
    <w:rsid w:val="00743428"/>
    <w:pPr>
      <w:ind w:left="1415" w:hanging="283"/>
    </w:pPr>
    <w:rPr>
      <w:lang w:val="ru-RU"/>
    </w:rPr>
  </w:style>
  <w:style w:type="paragraph" w:styleId="40">
    <w:name w:val="List Bullet 4"/>
    <w:basedOn w:val="a3"/>
    <w:autoRedefine/>
    <w:semiHidden/>
    <w:rsid w:val="00743428"/>
    <w:pPr>
      <w:numPr>
        <w:numId w:val="5"/>
      </w:numPr>
    </w:pPr>
    <w:rPr>
      <w:lang w:val="ru-RU"/>
    </w:rPr>
  </w:style>
  <w:style w:type="paragraph" w:styleId="50">
    <w:name w:val="List Bullet 5"/>
    <w:basedOn w:val="a3"/>
    <w:autoRedefine/>
    <w:semiHidden/>
    <w:rsid w:val="00743428"/>
    <w:pPr>
      <w:numPr>
        <w:numId w:val="6"/>
      </w:numPr>
    </w:pPr>
    <w:rPr>
      <w:lang w:val="ru-RU"/>
    </w:rPr>
  </w:style>
  <w:style w:type="paragraph" w:styleId="afb">
    <w:name w:val="List Continue"/>
    <w:basedOn w:val="a3"/>
    <w:semiHidden/>
    <w:rsid w:val="00743428"/>
    <w:pPr>
      <w:spacing w:after="120"/>
      <w:ind w:left="283"/>
    </w:pPr>
    <w:rPr>
      <w:lang w:val="ru-RU"/>
    </w:rPr>
  </w:style>
  <w:style w:type="paragraph" w:styleId="29">
    <w:name w:val="List Continue 2"/>
    <w:basedOn w:val="a3"/>
    <w:semiHidden/>
    <w:rsid w:val="00743428"/>
    <w:pPr>
      <w:spacing w:after="120"/>
      <w:ind w:left="566"/>
    </w:pPr>
    <w:rPr>
      <w:lang w:val="ru-RU"/>
    </w:rPr>
  </w:style>
  <w:style w:type="paragraph" w:styleId="36">
    <w:name w:val="List Continue 3"/>
    <w:basedOn w:val="a3"/>
    <w:semiHidden/>
    <w:rsid w:val="00743428"/>
    <w:pPr>
      <w:spacing w:after="120"/>
      <w:ind w:left="849"/>
    </w:pPr>
    <w:rPr>
      <w:lang w:val="ru-RU"/>
    </w:rPr>
  </w:style>
  <w:style w:type="paragraph" w:styleId="44">
    <w:name w:val="List Continue 4"/>
    <w:basedOn w:val="a3"/>
    <w:semiHidden/>
    <w:rsid w:val="00743428"/>
    <w:pPr>
      <w:spacing w:after="120"/>
      <w:ind w:left="1132"/>
    </w:pPr>
    <w:rPr>
      <w:lang w:val="ru-RU"/>
    </w:rPr>
  </w:style>
  <w:style w:type="paragraph" w:styleId="54">
    <w:name w:val="List Continue 5"/>
    <w:basedOn w:val="a3"/>
    <w:semiHidden/>
    <w:rsid w:val="00743428"/>
    <w:pPr>
      <w:spacing w:after="120"/>
      <w:ind w:left="1415"/>
    </w:pPr>
    <w:rPr>
      <w:lang w:val="ru-RU"/>
    </w:rPr>
  </w:style>
  <w:style w:type="paragraph" w:styleId="4">
    <w:name w:val="List Number 4"/>
    <w:basedOn w:val="a3"/>
    <w:semiHidden/>
    <w:rsid w:val="00743428"/>
    <w:pPr>
      <w:numPr>
        <w:numId w:val="7"/>
      </w:numPr>
    </w:pPr>
    <w:rPr>
      <w:lang w:val="ru-RU"/>
    </w:rPr>
  </w:style>
  <w:style w:type="paragraph" w:styleId="5">
    <w:name w:val="List Number 5"/>
    <w:basedOn w:val="a3"/>
    <w:semiHidden/>
    <w:rsid w:val="00743428"/>
    <w:pPr>
      <w:numPr>
        <w:numId w:val="8"/>
      </w:numPr>
    </w:pPr>
    <w:rPr>
      <w:lang w:val="ru-RU"/>
    </w:rPr>
  </w:style>
  <w:style w:type="paragraph" w:styleId="afc">
    <w:name w:val="Message Header"/>
    <w:basedOn w:val="a3"/>
    <w:semiHidden/>
    <w:rsid w:val="0074342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lang w:val="ru-RU"/>
    </w:rPr>
  </w:style>
  <w:style w:type="paragraph" w:styleId="afd">
    <w:name w:val="Normal (Web)"/>
    <w:basedOn w:val="a3"/>
    <w:semiHidden/>
    <w:rsid w:val="00743428"/>
    <w:rPr>
      <w:sz w:val="24"/>
      <w:lang w:val="ru-RU"/>
    </w:rPr>
  </w:style>
  <w:style w:type="paragraph" w:styleId="afe">
    <w:name w:val="Normal Indent"/>
    <w:basedOn w:val="a3"/>
    <w:semiHidden/>
    <w:rsid w:val="00743428"/>
    <w:pPr>
      <w:ind w:left="708"/>
    </w:pPr>
    <w:rPr>
      <w:lang w:val="ru-RU"/>
    </w:rPr>
  </w:style>
  <w:style w:type="paragraph" w:styleId="aff">
    <w:name w:val="Note Heading"/>
    <w:basedOn w:val="a3"/>
    <w:next w:val="a3"/>
    <w:semiHidden/>
    <w:rsid w:val="00743428"/>
    <w:rPr>
      <w:lang w:val="ru-RU"/>
    </w:rPr>
  </w:style>
  <w:style w:type="paragraph" w:styleId="aff0">
    <w:name w:val="Plain Text"/>
    <w:basedOn w:val="a3"/>
    <w:semiHidden/>
    <w:rsid w:val="00743428"/>
    <w:rPr>
      <w:rFonts w:ascii="Courier New" w:hAnsi="Courier New" w:cs="Courier New"/>
      <w:sz w:val="20"/>
      <w:szCs w:val="20"/>
      <w:lang w:val="ru-RU"/>
    </w:rPr>
  </w:style>
  <w:style w:type="paragraph" w:styleId="aff1">
    <w:name w:val="Salutation"/>
    <w:basedOn w:val="a3"/>
    <w:next w:val="a3"/>
    <w:semiHidden/>
    <w:rsid w:val="00743428"/>
    <w:rPr>
      <w:lang w:val="ru-RU"/>
    </w:rPr>
  </w:style>
  <w:style w:type="paragraph" w:styleId="aff2">
    <w:name w:val="caption"/>
    <w:basedOn w:val="a3"/>
    <w:next w:val="a3"/>
    <w:qFormat/>
    <w:rsid w:val="00B4709B"/>
    <w:pPr>
      <w:spacing w:before="120" w:after="120"/>
    </w:pPr>
    <w:rPr>
      <w:b/>
      <w:bCs/>
      <w:sz w:val="20"/>
      <w:szCs w:val="20"/>
      <w:lang w:val="ru-RU"/>
    </w:rPr>
  </w:style>
  <w:style w:type="paragraph" w:styleId="aff3">
    <w:name w:val="Subtitle"/>
    <w:basedOn w:val="a3"/>
    <w:qFormat/>
    <w:rsid w:val="00743428"/>
    <w:pPr>
      <w:spacing w:after="60"/>
      <w:jc w:val="center"/>
      <w:outlineLvl w:val="1"/>
    </w:pPr>
    <w:rPr>
      <w:rFonts w:ascii="Arial" w:hAnsi="Arial" w:cs="Arial"/>
      <w:sz w:val="24"/>
      <w:lang w:val="ru-RU"/>
    </w:rPr>
  </w:style>
  <w:style w:type="table" w:styleId="12">
    <w:name w:val="Table 3D effects 1"/>
    <w:basedOn w:val="a6"/>
    <w:semiHidden/>
    <w:rsid w:val="00743428"/>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a">
    <w:name w:val="Table 3D effects 2"/>
    <w:basedOn w:val="a6"/>
    <w:semiHidden/>
    <w:rsid w:val="00743428"/>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7">
    <w:name w:val="Table 3D effects 3"/>
    <w:basedOn w:val="a6"/>
    <w:semiHidden/>
    <w:rsid w:val="0074342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3">
    <w:name w:val="Table Classic 1"/>
    <w:basedOn w:val="a6"/>
    <w:semiHidden/>
    <w:rsid w:val="0074342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6"/>
    <w:semiHidden/>
    <w:rsid w:val="0074342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6"/>
    <w:semiHidden/>
    <w:rsid w:val="00743428"/>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6"/>
    <w:semiHidden/>
    <w:rsid w:val="007434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4">
    <w:name w:val="Table Colorful 1"/>
    <w:basedOn w:val="a6"/>
    <w:semiHidden/>
    <w:rsid w:val="00743428"/>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6"/>
    <w:semiHidden/>
    <w:rsid w:val="00743428"/>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9">
    <w:name w:val="Table Colorful 3"/>
    <w:basedOn w:val="a6"/>
    <w:semiHidden/>
    <w:rsid w:val="00743428"/>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5">
    <w:name w:val="Table Columns 1"/>
    <w:basedOn w:val="a6"/>
    <w:semiHidden/>
    <w:rsid w:val="0074342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6"/>
    <w:semiHidden/>
    <w:rsid w:val="00743428"/>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6"/>
    <w:semiHidden/>
    <w:rsid w:val="00743428"/>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6"/>
    <w:semiHidden/>
    <w:rsid w:val="00743428"/>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6"/>
    <w:semiHidden/>
    <w:rsid w:val="0074342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4">
    <w:name w:val="Table Contemporary"/>
    <w:basedOn w:val="a6"/>
    <w:semiHidden/>
    <w:rsid w:val="0074342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5">
    <w:name w:val="Table Elegant"/>
    <w:basedOn w:val="a6"/>
    <w:semiHidden/>
    <w:rsid w:val="0074342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Grid 1"/>
    <w:basedOn w:val="a6"/>
    <w:semiHidden/>
    <w:rsid w:val="0074342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6"/>
    <w:semiHidden/>
    <w:rsid w:val="00743428"/>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6"/>
    <w:semiHidden/>
    <w:rsid w:val="00743428"/>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semiHidden/>
    <w:rsid w:val="00743428"/>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rsid w:val="00743428"/>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6"/>
    <w:semiHidden/>
    <w:rsid w:val="00743428"/>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6"/>
    <w:semiHidden/>
    <w:rsid w:val="00743428"/>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6"/>
    <w:semiHidden/>
    <w:rsid w:val="00743428"/>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6"/>
    <w:semiHidden/>
    <w:rsid w:val="00743428"/>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6"/>
    <w:semiHidden/>
    <w:rsid w:val="0074342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6"/>
    <w:semiHidden/>
    <w:rsid w:val="0074342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semiHidden/>
    <w:rsid w:val="00743428"/>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semiHidden/>
    <w:rsid w:val="00743428"/>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semiHidden/>
    <w:rsid w:val="00743428"/>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semiHidden/>
    <w:rsid w:val="0074342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rsid w:val="0074342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6">
    <w:name w:val="Table Professional"/>
    <w:basedOn w:val="a6"/>
    <w:semiHidden/>
    <w:rsid w:val="0074342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7">
    <w:name w:val="Table Simple 1"/>
    <w:basedOn w:val="a6"/>
    <w:semiHidden/>
    <w:rsid w:val="00743428"/>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6"/>
    <w:semiHidden/>
    <w:rsid w:val="0074342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6"/>
    <w:semiHidden/>
    <w:rsid w:val="00743428"/>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Subtle 1"/>
    <w:basedOn w:val="a6"/>
    <w:semiHidden/>
    <w:rsid w:val="0074342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6"/>
    <w:semiHidden/>
    <w:rsid w:val="00743428"/>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7">
    <w:name w:val="Table Theme"/>
    <w:basedOn w:val="a6"/>
    <w:semiHidden/>
    <w:rsid w:val="00743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0">
    <w:name w:val="Table Web 1"/>
    <w:basedOn w:val="a6"/>
    <w:semiHidden/>
    <w:rsid w:val="00743428"/>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6"/>
    <w:semiHidden/>
    <w:rsid w:val="00743428"/>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6"/>
    <w:semiHidden/>
    <w:rsid w:val="0074342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8">
    <w:name w:val="Title"/>
    <w:basedOn w:val="a3"/>
    <w:qFormat/>
    <w:rsid w:val="00743428"/>
    <w:pPr>
      <w:spacing w:before="240" w:after="60"/>
      <w:jc w:val="center"/>
      <w:outlineLvl w:val="0"/>
    </w:pPr>
    <w:rPr>
      <w:rFonts w:ascii="Arial" w:hAnsi="Arial" w:cs="Arial"/>
      <w:b/>
      <w:bCs/>
      <w:kern w:val="28"/>
      <w:sz w:val="32"/>
      <w:szCs w:val="32"/>
      <w:lang w:val="ru-RU"/>
    </w:rPr>
  </w:style>
  <w:style w:type="paragraph" w:styleId="2f1">
    <w:name w:val="toc 2"/>
    <w:basedOn w:val="11"/>
    <w:next w:val="a3"/>
    <w:rsid w:val="009E3684"/>
    <w:pPr>
      <w:ind w:left="397" w:hanging="113"/>
    </w:pPr>
    <w:rPr>
      <w:caps w:val="0"/>
    </w:rPr>
  </w:style>
  <w:style w:type="paragraph" w:styleId="a0">
    <w:name w:val="List Bullet"/>
    <w:basedOn w:val="a4"/>
    <w:rsid w:val="00ED546E"/>
    <w:pPr>
      <w:numPr>
        <w:numId w:val="9"/>
      </w:numPr>
      <w:spacing w:after="60"/>
    </w:pPr>
  </w:style>
  <w:style w:type="paragraph" w:styleId="20">
    <w:name w:val="List Bullet 2"/>
    <w:basedOn w:val="a0"/>
    <w:rsid w:val="004F3FA7"/>
    <w:pPr>
      <w:numPr>
        <w:numId w:val="10"/>
      </w:numPr>
    </w:pPr>
  </w:style>
  <w:style w:type="paragraph" w:styleId="30">
    <w:name w:val="List Bullet 3"/>
    <w:basedOn w:val="20"/>
    <w:rsid w:val="004F3FA7"/>
    <w:pPr>
      <w:numPr>
        <w:numId w:val="11"/>
      </w:numPr>
    </w:pPr>
  </w:style>
  <w:style w:type="paragraph" w:styleId="a">
    <w:name w:val="List Number"/>
    <w:basedOn w:val="a4"/>
    <w:next w:val="23"/>
    <w:rsid w:val="00E34A58"/>
    <w:pPr>
      <w:numPr>
        <w:numId w:val="12"/>
      </w:numPr>
    </w:pPr>
  </w:style>
  <w:style w:type="paragraph" w:styleId="2">
    <w:name w:val="List Number 2"/>
    <w:basedOn w:val="a"/>
    <w:rsid w:val="00E34A58"/>
    <w:pPr>
      <w:numPr>
        <w:numId w:val="13"/>
      </w:numPr>
    </w:pPr>
  </w:style>
  <w:style w:type="paragraph" w:styleId="3">
    <w:name w:val="List Number 3"/>
    <w:basedOn w:val="2"/>
    <w:rsid w:val="00E34A58"/>
    <w:pPr>
      <w:numPr>
        <w:numId w:val="14"/>
      </w:numPr>
    </w:pPr>
  </w:style>
  <w:style w:type="paragraph" w:styleId="a2">
    <w:name w:val="List"/>
    <w:basedOn w:val="a4"/>
    <w:rsid w:val="00E34A58"/>
    <w:pPr>
      <w:numPr>
        <w:numId w:val="17"/>
      </w:numPr>
      <w:spacing w:after="60"/>
    </w:pPr>
  </w:style>
  <w:style w:type="paragraph" w:styleId="21">
    <w:name w:val="List 2"/>
    <w:basedOn w:val="a2"/>
    <w:rsid w:val="00E34A58"/>
    <w:pPr>
      <w:numPr>
        <w:numId w:val="16"/>
      </w:numPr>
    </w:pPr>
  </w:style>
  <w:style w:type="paragraph" w:styleId="32">
    <w:name w:val="List 3"/>
    <w:basedOn w:val="21"/>
    <w:rsid w:val="00E34A58"/>
    <w:pPr>
      <w:numPr>
        <w:numId w:val="15"/>
      </w:numPr>
    </w:pPr>
  </w:style>
  <w:style w:type="paragraph" w:styleId="aff9">
    <w:name w:val="Balloon Text"/>
    <w:basedOn w:val="a3"/>
    <w:semiHidden/>
    <w:rsid w:val="00B4709B"/>
    <w:rPr>
      <w:rFonts w:ascii="Tahoma" w:hAnsi="Tahoma" w:cs="Tahoma"/>
      <w:sz w:val="16"/>
      <w:szCs w:val="16"/>
      <w:lang w:val="ru-RU"/>
    </w:rPr>
  </w:style>
  <w:style w:type="character" w:styleId="affa">
    <w:name w:val="annotation reference"/>
    <w:semiHidden/>
    <w:rsid w:val="00B4709B"/>
    <w:rPr>
      <w:sz w:val="16"/>
      <w:szCs w:val="16"/>
      <w:lang w:val="ru-RU"/>
    </w:rPr>
  </w:style>
  <w:style w:type="paragraph" w:styleId="affb">
    <w:name w:val="annotation text"/>
    <w:basedOn w:val="a3"/>
    <w:semiHidden/>
    <w:rsid w:val="00B4709B"/>
    <w:rPr>
      <w:sz w:val="20"/>
      <w:szCs w:val="20"/>
      <w:lang w:val="ru-RU"/>
    </w:rPr>
  </w:style>
  <w:style w:type="paragraph" w:styleId="affc">
    <w:name w:val="annotation subject"/>
    <w:basedOn w:val="affb"/>
    <w:next w:val="affb"/>
    <w:semiHidden/>
    <w:rsid w:val="00B4709B"/>
    <w:rPr>
      <w:b/>
      <w:bCs/>
    </w:rPr>
  </w:style>
  <w:style w:type="paragraph" w:styleId="affd">
    <w:name w:val="Document Map"/>
    <w:basedOn w:val="a3"/>
    <w:semiHidden/>
    <w:rsid w:val="00B4709B"/>
    <w:pPr>
      <w:shd w:val="clear" w:color="auto" w:fill="000080"/>
    </w:pPr>
    <w:rPr>
      <w:rFonts w:ascii="Tahoma" w:hAnsi="Tahoma" w:cs="Tahoma"/>
      <w:lang w:val="ru-RU"/>
    </w:rPr>
  </w:style>
  <w:style w:type="character" w:styleId="affe">
    <w:name w:val="endnote reference"/>
    <w:semiHidden/>
    <w:rsid w:val="00B4709B"/>
    <w:rPr>
      <w:vertAlign w:val="superscript"/>
    </w:rPr>
  </w:style>
  <w:style w:type="paragraph" w:styleId="afff">
    <w:name w:val="endnote text"/>
    <w:basedOn w:val="a3"/>
    <w:semiHidden/>
    <w:rsid w:val="00B4709B"/>
    <w:rPr>
      <w:sz w:val="20"/>
      <w:szCs w:val="20"/>
      <w:lang w:val="ru-RU"/>
    </w:rPr>
  </w:style>
  <w:style w:type="paragraph" w:styleId="19">
    <w:name w:val="index 1"/>
    <w:basedOn w:val="a3"/>
    <w:next w:val="a3"/>
    <w:autoRedefine/>
    <w:semiHidden/>
    <w:rsid w:val="00B4709B"/>
    <w:pPr>
      <w:ind w:left="220" w:hanging="220"/>
    </w:pPr>
    <w:rPr>
      <w:lang w:val="ru-RU"/>
    </w:rPr>
  </w:style>
  <w:style w:type="paragraph" w:styleId="2f2">
    <w:name w:val="index 2"/>
    <w:basedOn w:val="a3"/>
    <w:next w:val="a3"/>
    <w:autoRedefine/>
    <w:semiHidden/>
    <w:rsid w:val="00B4709B"/>
    <w:pPr>
      <w:ind w:left="440" w:hanging="220"/>
    </w:pPr>
    <w:rPr>
      <w:lang w:val="ru-RU"/>
    </w:rPr>
  </w:style>
  <w:style w:type="paragraph" w:styleId="3d">
    <w:name w:val="index 3"/>
    <w:basedOn w:val="a3"/>
    <w:next w:val="a3"/>
    <w:autoRedefine/>
    <w:semiHidden/>
    <w:rsid w:val="00B4709B"/>
    <w:pPr>
      <w:ind w:left="660" w:hanging="220"/>
    </w:pPr>
    <w:rPr>
      <w:lang w:val="ru-RU"/>
    </w:rPr>
  </w:style>
  <w:style w:type="paragraph" w:styleId="48">
    <w:name w:val="index 4"/>
    <w:basedOn w:val="a3"/>
    <w:next w:val="a3"/>
    <w:autoRedefine/>
    <w:semiHidden/>
    <w:rsid w:val="00B4709B"/>
    <w:pPr>
      <w:ind w:left="880" w:hanging="220"/>
    </w:pPr>
    <w:rPr>
      <w:lang w:val="ru-RU"/>
    </w:rPr>
  </w:style>
  <w:style w:type="paragraph" w:styleId="57">
    <w:name w:val="index 5"/>
    <w:basedOn w:val="a3"/>
    <w:next w:val="a3"/>
    <w:autoRedefine/>
    <w:semiHidden/>
    <w:rsid w:val="00B4709B"/>
    <w:pPr>
      <w:ind w:left="1100" w:hanging="220"/>
    </w:pPr>
    <w:rPr>
      <w:lang w:val="ru-RU"/>
    </w:rPr>
  </w:style>
  <w:style w:type="paragraph" w:styleId="62">
    <w:name w:val="index 6"/>
    <w:basedOn w:val="a3"/>
    <w:next w:val="a3"/>
    <w:autoRedefine/>
    <w:semiHidden/>
    <w:rsid w:val="00B4709B"/>
    <w:pPr>
      <w:ind w:left="1320" w:hanging="220"/>
    </w:pPr>
    <w:rPr>
      <w:lang w:val="ru-RU"/>
    </w:rPr>
  </w:style>
  <w:style w:type="paragraph" w:styleId="72">
    <w:name w:val="index 7"/>
    <w:basedOn w:val="a3"/>
    <w:next w:val="a3"/>
    <w:autoRedefine/>
    <w:semiHidden/>
    <w:rsid w:val="00B4709B"/>
    <w:pPr>
      <w:ind w:left="1540" w:hanging="220"/>
    </w:pPr>
    <w:rPr>
      <w:lang w:val="ru-RU"/>
    </w:rPr>
  </w:style>
  <w:style w:type="paragraph" w:styleId="82">
    <w:name w:val="index 8"/>
    <w:basedOn w:val="a3"/>
    <w:next w:val="a3"/>
    <w:autoRedefine/>
    <w:semiHidden/>
    <w:rsid w:val="00B4709B"/>
    <w:pPr>
      <w:ind w:left="1760" w:hanging="220"/>
    </w:pPr>
    <w:rPr>
      <w:lang w:val="ru-RU"/>
    </w:rPr>
  </w:style>
  <w:style w:type="paragraph" w:styleId="91">
    <w:name w:val="index 9"/>
    <w:basedOn w:val="a3"/>
    <w:next w:val="a3"/>
    <w:autoRedefine/>
    <w:semiHidden/>
    <w:rsid w:val="00B4709B"/>
    <w:pPr>
      <w:ind w:left="1980" w:hanging="220"/>
    </w:pPr>
    <w:rPr>
      <w:lang w:val="ru-RU"/>
    </w:rPr>
  </w:style>
  <w:style w:type="paragraph" w:styleId="afff0">
    <w:name w:val="index heading"/>
    <w:basedOn w:val="a3"/>
    <w:next w:val="19"/>
    <w:semiHidden/>
    <w:rsid w:val="00B4709B"/>
    <w:rPr>
      <w:rFonts w:ascii="Arial" w:hAnsi="Arial" w:cs="Arial"/>
      <w:b/>
      <w:bCs/>
      <w:lang w:val="ru-RU"/>
    </w:rPr>
  </w:style>
  <w:style w:type="paragraph" w:styleId="afff1">
    <w:name w:val="macro"/>
    <w:semiHidden/>
    <w:rsid w:val="00B470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styleId="afff2">
    <w:name w:val="Strong"/>
    <w:qFormat/>
    <w:rsid w:val="00B4709B"/>
    <w:rPr>
      <w:b/>
      <w:bCs/>
    </w:rPr>
  </w:style>
  <w:style w:type="paragraph" w:styleId="afff3">
    <w:name w:val="table of authorities"/>
    <w:basedOn w:val="a3"/>
    <w:next w:val="a3"/>
    <w:semiHidden/>
    <w:rsid w:val="00B4709B"/>
    <w:pPr>
      <w:ind w:left="220" w:hanging="220"/>
    </w:pPr>
    <w:rPr>
      <w:lang w:val="ru-RU"/>
    </w:rPr>
  </w:style>
  <w:style w:type="paragraph" w:styleId="afff4">
    <w:name w:val="table of figures"/>
    <w:basedOn w:val="a3"/>
    <w:next w:val="a3"/>
    <w:semiHidden/>
    <w:rsid w:val="00B4709B"/>
    <w:pPr>
      <w:ind w:left="440" w:hanging="440"/>
    </w:pPr>
    <w:rPr>
      <w:lang w:val="ru-RU"/>
    </w:rPr>
  </w:style>
  <w:style w:type="paragraph" w:styleId="afff5">
    <w:name w:val="toa heading"/>
    <w:basedOn w:val="a3"/>
    <w:next w:val="a3"/>
    <w:semiHidden/>
    <w:rsid w:val="00B4709B"/>
    <w:pPr>
      <w:spacing w:before="120"/>
    </w:pPr>
    <w:rPr>
      <w:rFonts w:ascii="Arial" w:hAnsi="Arial" w:cs="Arial"/>
      <w:b/>
      <w:bCs/>
      <w:sz w:val="24"/>
      <w:lang w:val="ru-RU"/>
    </w:rPr>
  </w:style>
  <w:style w:type="paragraph" w:styleId="3e">
    <w:name w:val="toc 3"/>
    <w:basedOn w:val="a3"/>
    <w:next w:val="a3"/>
    <w:autoRedefine/>
    <w:semiHidden/>
    <w:rsid w:val="00B4709B"/>
    <w:pPr>
      <w:ind w:left="440"/>
    </w:pPr>
    <w:rPr>
      <w:lang w:val="ru-RU"/>
    </w:rPr>
  </w:style>
  <w:style w:type="paragraph" w:styleId="49">
    <w:name w:val="toc 4"/>
    <w:basedOn w:val="a3"/>
    <w:next w:val="a3"/>
    <w:autoRedefine/>
    <w:semiHidden/>
    <w:rsid w:val="00B4709B"/>
    <w:pPr>
      <w:ind w:left="660"/>
    </w:pPr>
    <w:rPr>
      <w:lang w:val="ru-RU"/>
    </w:rPr>
  </w:style>
  <w:style w:type="paragraph" w:styleId="58">
    <w:name w:val="toc 5"/>
    <w:basedOn w:val="a3"/>
    <w:next w:val="a3"/>
    <w:autoRedefine/>
    <w:semiHidden/>
    <w:rsid w:val="00B4709B"/>
    <w:pPr>
      <w:ind w:left="880"/>
    </w:pPr>
    <w:rPr>
      <w:lang w:val="ru-RU"/>
    </w:rPr>
  </w:style>
  <w:style w:type="paragraph" w:styleId="63">
    <w:name w:val="toc 6"/>
    <w:basedOn w:val="a3"/>
    <w:next w:val="a3"/>
    <w:autoRedefine/>
    <w:semiHidden/>
    <w:rsid w:val="00B4709B"/>
    <w:pPr>
      <w:ind w:left="1100"/>
    </w:pPr>
    <w:rPr>
      <w:lang w:val="ru-RU"/>
    </w:rPr>
  </w:style>
  <w:style w:type="paragraph" w:styleId="73">
    <w:name w:val="toc 7"/>
    <w:basedOn w:val="a3"/>
    <w:next w:val="a3"/>
    <w:autoRedefine/>
    <w:semiHidden/>
    <w:rsid w:val="00B4709B"/>
    <w:pPr>
      <w:ind w:left="1320"/>
    </w:pPr>
    <w:rPr>
      <w:lang w:val="ru-RU"/>
    </w:rPr>
  </w:style>
  <w:style w:type="paragraph" w:styleId="83">
    <w:name w:val="toc 8"/>
    <w:basedOn w:val="a3"/>
    <w:next w:val="a3"/>
    <w:autoRedefine/>
    <w:semiHidden/>
    <w:rsid w:val="00B4709B"/>
    <w:pPr>
      <w:ind w:left="1540"/>
    </w:pPr>
    <w:rPr>
      <w:lang w:val="ru-RU"/>
    </w:rPr>
  </w:style>
  <w:style w:type="paragraph" w:styleId="92">
    <w:name w:val="toc 9"/>
    <w:basedOn w:val="a3"/>
    <w:next w:val="a3"/>
    <w:autoRedefine/>
    <w:semiHidden/>
    <w:rsid w:val="00B4709B"/>
    <w:pPr>
      <w:ind w:left="1760"/>
    </w:pPr>
    <w:rPr>
      <w:lang w:val="ru-RU"/>
    </w:rPr>
  </w:style>
  <w:style w:type="paragraph" w:customStyle="1" w:styleId="tblBullet">
    <w:name w:val="tbl'Bullet"/>
    <w:basedOn w:val="tblText00"/>
    <w:rsid w:val="00127E79"/>
    <w:pPr>
      <w:numPr>
        <w:numId w:val="18"/>
      </w:numPr>
    </w:pPr>
  </w:style>
  <w:style w:type="paragraph" w:customStyle="1" w:styleId="tblBullet2">
    <w:name w:val="tbl'Bullet 2"/>
    <w:basedOn w:val="tblBullet"/>
    <w:rsid w:val="00CF0144"/>
    <w:pPr>
      <w:numPr>
        <w:numId w:val="19"/>
      </w:numPr>
    </w:pPr>
  </w:style>
  <w:style w:type="character" w:customStyle="1" w:styleId="a8">
    <w:name w:val="Основной текст Знак"/>
    <w:link w:val="a4"/>
    <w:rsid w:val="00916675"/>
    <w:rPr>
      <w:rFonts w:ascii="Arial" w:eastAsia="Arial Unicode MS" w:hAnsi="Arial"/>
      <w:szCs w:val="22"/>
      <w:lang w:val="ru-RU" w:eastAsia="ru-RU" w:bidi="ar-SA"/>
    </w:rPr>
  </w:style>
  <w:style w:type="character" w:customStyle="1" w:styleId="10">
    <w:name w:val="Заголовок 1 Знак"/>
    <w:link w:val="1"/>
    <w:rsid w:val="00916675"/>
    <w:rPr>
      <w:rFonts w:ascii="Arial" w:eastAsia="Arial Unicode MS" w:hAnsi="Arial" w:cs="Arial"/>
      <w:b/>
      <w:bCs/>
      <w:caps/>
      <w:szCs w:val="22"/>
      <w:lang w:val="ru-RU" w:eastAsia="ru-RU"/>
    </w:rPr>
  </w:style>
  <w:style w:type="character" w:customStyle="1" w:styleId="24">
    <w:name w:val="Заголовок 2 Знак"/>
    <w:aliases w:val="h2 Знак,h2 main heading Знак,B Sub/Bold Знак,12 Sub/Bold Знак,Heading 2 Char Знак,Heading 2 Char1 Char Знак,Heading 2 Char Char Char Знак,Heading 2 Char1 Char Char Char Знак,Heading 2 Char Char Char Char Char Знак,h2 Char Знак"/>
    <w:link w:val="22"/>
    <w:rsid w:val="00916675"/>
    <w:rPr>
      <w:rFonts w:ascii="Arial" w:eastAsia="Arial Unicode MS" w:hAnsi="Arial" w:cs="Arial"/>
      <w:b/>
      <w:iCs/>
      <w:szCs w:val="22"/>
      <w:lang w:val="ru-RU" w:eastAsia="ru-RU"/>
    </w:rPr>
  </w:style>
  <w:style w:type="character" w:customStyle="1" w:styleId="33">
    <w:name w:val="Заголовок 3 Знак"/>
    <w:aliases w:val="h3 sub heading Знак,C Sub-Sub/Italic Знак,13 Sub-Sub/Italic Знак,Heading 3 Char Знак,Heading 3 Char1 Char Знак,Heading 3 Char Char Char1 Знак,Heading 3 Char1 Char Char Char Знак,Heading 3 Char Char Char1 Char1 Char Знак"/>
    <w:link w:val="31"/>
    <w:rsid w:val="00916675"/>
    <w:rPr>
      <w:rFonts w:ascii="Arial" w:eastAsia="Arial Unicode MS" w:hAnsi="Arial" w:cs="Arial"/>
      <w:b/>
      <w:bCs/>
      <w:i/>
      <w:iCs/>
      <w:szCs w:val="26"/>
      <w:lang w:val="ru-RU" w:eastAsia="ru-RU"/>
    </w:rPr>
  </w:style>
  <w:style w:type="paragraph" w:styleId="afff6">
    <w:name w:val="Revision"/>
    <w:hidden/>
    <w:uiPriority w:val="99"/>
    <w:rsid w:val="00916675"/>
    <w:rPr>
      <w:rFonts w:eastAsia="Times New Roman"/>
      <w:sz w:val="22"/>
      <w:szCs w:val="24"/>
      <w:lang w:val="en-GB"/>
    </w:rPr>
  </w:style>
  <w:style w:type="paragraph" w:customStyle="1" w:styleId="uc0uc0uc0uc0uc0uc01">
    <w:name w:val="Рuc0еuc0цuc0енuc0зuc0иuc0я1"/>
    <w:hidden/>
    <w:rsid w:val="00916675"/>
    <w:pPr>
      <w:autoSpaceDE w:val="0"/>
      <w:autoSpaceDN w:val="0"/>
      <w:adjustRightInd w:val="0"/>
    </w:pPr>
    <w:rPr>
      <w:rFonts w:eastAsia="Times New Roman"/>
      <w:lang w:val="en-US" w:eastAsia="en-US"/>
    </w:rPr>
  </w:style>
  <w:style w:type="paragraph" w:customStyle="1" w:styleId="uc0uc0uc0uc0uc0uc02">
    <w:name w:val="Рuc0еuc0цuc0еuc0нзuc0иuc0я2"/>
    <w:hidden/>
    <w:rsid w:val="00916675"/>
    <w:pPr>
      <w:autoSpaceDE w:val="0"/>
      <w:autoSpaceDN w:val="0"/>
      <w:adjustRightInd w:val="0"/>
    </w:pPr>
    <w:rPr>
      <w:rFonts w:eastAsia="Times New Roman"/>
      <w:lang w:val="en-US" w:eastAsia="en-US"/>
    </w:rPr>
  </w:style>
  <w:style w:type="character" w:customStyle="1" w:styleId="42">
    <w:name w:val="Заголовок 4 Знак"/>
    <w:aliases w:val="Heading 4 Char Знак,Heading 4 Char1 Char1 Знак,Heading 4 Char Char Char Знак,Heading 4 Char1 Char1 Char Char Знак,Heading 4 Char Char Char Char Char Знак,Heading 4 Char1 Char1 Char Char Char Char Знак,H4 Char Char Char Char Знак"/>
    <w:link w:val="41"/>
    <w:rsid w:val="00916675"/>
    <w:rPr>
      <w:rFonts w:ascii="Arial" w:eastAsia="Arial Unicode MS" w:hAnsi="Arial" w:cs="Arial"/>
      <w:iCs/>
      <w:szCs w:val="28"/>
      <w:u w:val="single"/>
      <w:lang w:val="ru-RU" w:eastAsia="ru-RU"/>
    </w:rPr>
  </w:style>
  <w:style w:type="character" w:customStyle="1" w:styleId="52">
    <w:name w:val="Заголовок 5 Знак"/>
    <w:aliases w:val="Heading 5 Char1 Знак,Heading 5 Char Char Знак,Heading 5 Char2 Char Char Знак,Heading 5 Char Char1 Char Char Знак,Level 3 - i Char Char Char Char1 Знак,H5 Char Char Char Char1 Знак,Heading 5 Char1 Char Char Char Char Char Знак,H5 Ch Знак"/>
    <w:link w:val="51"/>
    <w:rsid w:val="00916675"/>
    <w:rPr>
      <w:b/>
      <w:bCs/>
      <w:i/>
      <w:iCs/>
      <w:sz w:val="26"/>
      <w:szCs w:val="26"/>
      <w:lang w:eastAsia="ja-JP"/>
    </w:rPr>
  </w:style>
  <w:style w:type="character" w:customStyle="1" w:styleId="60">
    <w:name w:val="Заголовок 6 Знак"/>
    <w:aliases w:val="Legal Level 1. Знак,H6 Знак"/>
    <w:link w:val="6"/>
    <w:rsid w:val="00916675"/>
    <w:rPr>
      <w:b/>
      <w:bCs/>
      <w:sz w:val="22"/>
      <w:szCs w:val="22"/>
      <w:lang w:eastAsia="ja-JP"/>
    </w:rPr>
  </w:style>
  <w:style w:type="character" w:customStyle="1" w:styleId="70">
    <w:name w:val="Заголовок 7 Знак"/>
    <w:aliases w:val="Legal Level 1.1. Знак"/>
    <w:link w:val="7"/>
    <w:rsid w:val="00916675"/>
    <w:rPr>
      <w:sz w:val="24"/>
      <w:szCs w:val="24"/>
      <w:lang w:eastAsia="ja-JP"/>
    </w:rPr>
  </w:style>
  <w:style w:type="character" w:customStyle="1" w:styleId="80">
    <w:name w:val="Заголовок 8 Знак"/>
    <w:aliases w:val="AppendixSubHead Знак,Legal Level 1.1.1. Знак"/>
    <w:link w:val="8"/>
    <w:rsid w:val="00916675"/>
    <w:rPr>
      <w:i/>
      <w:iCs/>
      <w:sz w:val="24"/>
      <w:szCs w:val="24"/>
      <w:lang w:eastAsia="ja-JP"/>
    </w:rPr>
  </w:style>
  <w:style w:type="character" w:customStyle="1" w:styleId="90">
    <w:name w:val="Заголовок 9 Знак"/>
    <w:aliases w:val="AppendixBodyHead Знак,Legal Level 1.1.1.1. Знак"/>
    <w:link w:val="9"/>
    <w:rsid w:val="00916675"/>
    <w:rPr>
      <w:rFonts w:ascii="Arial" w:hAnsi="Arial" w:cs="Arial"/>
      <w:sz w:val="22"/>
      <w:szCs w:val="22"/>
      <w:lang w:eastAsia="ja-JP"/>
    </w:rPr>
  </w:style>
  <w:style w:type="character" w:customStyle="1" w:styleId="25">
    <w:name w:val="Основной текст 2 Знак"/>
    <w:link w:val="23"/>
    <w:rsid w:val="00690257"/>
    <w:rPr>
      <w:rFonts w:ascii="Arial" w:eastAsia="Arial Unicode MS" w:hAnsi="Arial"/>
      <w:color w:val="000066"/>
      <w:szCs w:val="22"/>
      <w:lang w:val="ru-RU" w:eastAsia="ru-RU"/>
    </w:rPr>
  </w:style>
  <w:style w:type="character" w:customStyle="1" w:styleId="ad">
    <w:name w:val="Нижний колонтитул Знак"/>
    <w:link w:val="ac"/>
    <w:uiPriority w:val="99"/>
    <w:rsid w:val="007448AA"/>
    <w:rPr>
      <w:rFonts w:ascii="Arial" w:eastAsia="Arial Unicode MS" w:hAnsi="Arial"/>
      <w:sz w:val="18"/>
      <w:szCs w:val="22"/>
      <w:lang w:val="ru-RU" w:eastAsia="ru-RU"/>
    </w:rPr>
  </w:style>
  <w:style w:type="character" w:customStyle="1" w:styleId="DeltaViewInsertion">
    <w:name w:val="DeltaView Insertion"/>
    <w:rsid w:val="00D2556E"/>
    <w:rPr>
      <w:color w:val="0000FF"/>
      <w:spacing w:val="0"/>
      <w:u w:val="doub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916675"/>
    <w:rPr>
      <w:sz w:val="22"/>
      <w:szCs w:val="24"/>
      <w:lang w:val="en-US" w:eastAsia="ja-JP"/>
    </w:rPr>
  </w:style>
  <w:style w:type="paragraph" w:styleId="1">
    <w:name w:val="heading 1"/>
    <w:basedOn w:val="a4"/>
    <w:next w:val="23"/>
    <w:link w:val="10"/>
    <w:qFormat/>
    <w:rsid w:val="004941CC"/>
    <w:pPr>
      <w:keepNext/>
      <w:numPr>
        <w:numId w:val="1"/>
      </w:numPr>
      <w:outlineLvl w:val="0"/>
    </w:pPr>
    <w:rPr>
      <w:b/>
      <w:bCs/>
      <w:caps/>
    </w:rPr>
  </w:style>
  <w:style w:type="paragraph" w:styleId="22">
    <w:name w:val="heading 2"/>
    <w:aliases w:val="h2,h2 main heading,B Sub/Bold,12 Sub/Bold,Heading 2 Char,Heading 2 Char1 Char,Heading 2 Char Char Char,Heading 2 Char1 Char Char Char,Heading 2 Char Char Char Char Char,Heading 2 Char1 Char Char Char Char Char,h2 Char,level2,Major"/>
    <w:basedOn w:val="1"/>
    <w:next w:val="23"/>
    <w:link w:val="24"/>
    <w:qFormat/>
    <w:rsid w:val="004941CC"/>
    <w:pPr>
      <w:numPr>
        <w:ilvl w:val="1"/>
      </w:numPr>
      <w:outlineLvl w:val="1"/>
    </w:pPr>
    <w:rPr>
      <w:bCs w:val="0"/>
      <w:iCs/>
      <w:caps w:val="0"/>
    </w:rPr>
  </w:style>
  <w:style w:type="paragraph" w:styleId="31">
    <w:name w:val="heading 3"/>
    <w:aliases w:val="h3 sub heading,C Sub-Sub/Italic,13 Sub-Sub/Italic,Heading 3 Char,Heading 3 Char1 Char,Heading 3 Char Char Char1,Heading 3 Char1 Char Char Char,Heading 3 Char Char Char1 Char1 Char,Heading 3 Char2 Char Char Char Char Char"/>
    <w:basedOn w:val="22"/>
    <w:next w:val="23"/>
    <w:link w:val="33"/>
    <w:qFormat/>
    <w:rsid w:val="004941CC"/>
    <w:pPr>
      <w:numPr>
        <w:ilvl w:val="2"/>
      </w:numPr>
      <w:outlineLvl w:val="2"/>
    </w:pPr>
    <w:rPr>
      <w:bCs/>
      <w:i/>
      <w:szCs w:val="26"/>
    </w:rPr>
  </w:style>
  <w:style w:type="paragraph" w:styleId="41">
    <w:name w:val="heading 4"/>
    <w:aliases w:val="Heading 4 Char,Heading 4 Char1 Char1,Heading 4 Char Char Char,Heading 4 Char1 Char1 Char Char,Heading 4 Char Char Char Char Char,Heading 4 Char1 Char1 Char Char Char Char,Heading 4 Char Char Char Char Char Char Char,H4 Char Char Char Char"/>
    <w:basedOn w:val="31"/>
    <w:next w:val="23"/>
    <w:link w:val="42"/>
    <w:qFormat/>
    <w:rsid w:val="004941CC"/>
    <w:pPr>
      <w:numPr>
        <w:ilvl w:val="3"/>
      </w:numPr>
      <w:outlineLvl w:val="3"/>
    </w:pPr>
    <w:rPr>
      <w:b w:val="0"/>
      <w:bCs w:val="0"/>
      <w:i w:val="0"/>
      <w:szCs w:val="28"/>
      <w:u w:val="single"/>
    </w:rPr>
  </w:style>
  <w:style w:type="paragraph" w:styleId="51">
    <w:name w:val="heading 5"/>
    <w:aliases w:val="Heading 5 Char1,Heading 5 Char Char,Heading 5 Char2 Char Char,Heading 5 Char Char1 Char Char,Level 3 - i Char Char Char Char1,H5 Char Char Char Char1,Heading 5 Char1 Char Char Char Char Char,Heading 5 Char Char Char Char Char Char Char,H5 Ch"/>
    <w:basedOn w:val="a3"/>
    <w:next w:val="a3"/>
    <w:link w:val="52"/>
    <w:qFormat/>
    <w:rsid w:val="00743428"/>
    <w:pPr>
      <w:spacing w:before="240" w:after="60"/>
      <w:outlineLvl w:val="4"/>
    </w:pPr>
    <w:rPr>
      <w:b/>
      <w:bCs/>
      <w:i/>
      <w:iCs/>
      <w:sz w:val="26"/>
      <w:szCs w:val="26"/>
      <w:lang w:val="x-none"/>
    </w:rPr>
  </w:style>
  <w:style w:type="paragraph" w:styleId="6">
    <w:name w:val="heading 6"/>
    <w:aliases w:val="Legal Level 1.,H6"/>
    <w:basedOn w:val="a3"/>
    <w:next w:val="a3"/>
    <w:link w:val="60"/>
    <w:qFormat/>
    <w:rsid w:val="00743428"/>
    <w:pPr>
      <w:spacing w:before="240" w:after="60"/>
      <w:outlineLvl w:val="5"/>
    </w:pPr>
    <w:rPr>
      <w:b/>
      <w:bCs/>
      <w:szCs w:val="22"/>
      <w:lang w:val="x-none"/>
    </w:rPr>
  </w:style>
  <w:style w:type="paragraph" w:styleId="7">
    <w:name w:val="heading 7"/>
    <w:aliases w:val="Legal Level 1.1."/>
    <w:basedOn w:val="a3"/>
    <w:next w:val="a3"/>
    <w:link w:val="70"/>
    <w:qFormat/>
    <w:rsid w:val="00743428"/>
    <w:pPr>
      <w:spacing w:before="240" w:after="60"/>
      <w:outlineLvl w:val="6"/>
    </w:pPr>
    <w:rPr>
      <w:sz w:val="24"/>
      <w:lang w:val="x-none"/>
    </w:rPr>
  </w:style>
  <w:style w:type="paragraph" w:styleId="8">
    <w:name w:val="heading 8"/>
    <w:aliases w:val="AppendixSubHead,Legal Level 1.1.1."/>
    <w:basedOn w:val="a3"/>
    <w:next w:val="a3"/>
    <w:link w:val="80"/>
    <w:qFormat/>
    <w:rsid w:val="00743428"/>
    <w:pPr>
      <w:spacing w:before="240" w:after="60"/>
      <w:outlineLvl w:val="7"/>
    </w:pPr>
    <w:rPr>
      <w:i/>
      <w:iCs/>
      <w:sz w:val="24"/>
      <w:lang w:val="x-none"/>
    </w:rPr>
  </w:style>
  <w:style w:type="paragraph" w:styleId="9">
    <w:name w:val="heading 9"/>
    <w:aliases w:val="AppendixBodyHead,Legal Level 1.1.1.1."/>
    <w:basedOn w:val="a3"/>
    <w:next w:val="a3"/>
    <w:link w:val="90"/>
    <w:qFormat/>
    <w:rsid w:val="00743428"/>
    <w:pPr>
      <w:spacing w:before="240" w:after="60"/>
      <w:outlineLvl w:val="8"/>
    </w:pPr>
    <w:rPr>
      <w:rFonts w:ascii="Arial" w:hAnsi="Arial"/>
      <w:szCs w:val="22"/>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Z03Arial11">
    <w:name w:val="Z0_3Arial11"/>
    <w:basedOn w:val="a4"/>
    <w:rsid w:val="00743428"/>
    <w:rPr>
      <w:rFonts w:cs="Arial"/>
    </w:rPr>
  </w:style>
  <w:style w:type="paragraph" w:styleId="a4">
    <w:name w:val="Body Text"/>
    <w:link w:val="a8"/>
    <w:rsid w:val="00127E79"/>
    <w:rPr>
      <w:rFonts w:ascii="Arial" w:eastAsia="Arial Unicode MS" w:hAnsi="Arial"/>
      <w:szCs w:val="22"/>
    </w:rPr>
  </w:style>
  <w:style w:type="paragraph" w:customStyle="1" w:styleId="Z01Arial22CompanyName">
    <w:name w:val="Z0_1Arial22_CompanyName"/>
    <w:basedOn w:val="Z03Arial11"/>
    <w:next w:val="Z02Arial16Blank"/>
    <w:rsid w:val="00127E79"/>
    <w:rPr>
      <w:rFonts w:ascii="Times New Roman" w:hAnsi="Times New Roman"/>
      <w:b/>
      <w:spacing w:val="-2"/>
      <w:sz w:val="48"/>
      <w:szCs w:val="44"/>
    </w:rPr>
  </w:style>
  <w:style w:type="paragraph" w:customStyle="1" w:styleId="Z02Arial16Blank">
    <w:name w:val="Z0_2Arial16_Blank"/>
    <w:basedOn w:val="Z03Arial11"/>
    <w:next w:val="Z03Arial11"/>
    <w:rsid w:val="00743428"/>
    <w:rPr>
      <w:sz w:val="32"/>
      <w:szCs w:val="32"/>
    </w:rPr>
  </w:style>
  <w:style w:type="paragraph" w:customStyle="1" w:styleId="Z1CompanyName14">
    <w:name w:val="Z1_CompanyName_14"/>
    <w:basedOn w:val="Z03Arial11"/>
    <w:next w:val="Z03Arial11"/>
    <w:rsid w:val="00743428"/>
    <w:rPr>
      <w:b/>
      <w:caps/>
      <w:sz w:val="28"/>
      <w:szCs w:val="28"/>
    </w:rPr>
  </w:style>
  <w:style w:type="paragraph" w:customStyle="1" w:styleId="Z1Contents">
    <w:name w:val="Z1_Contents"/>
    <w:basedOn w:val="Z03Arial11"/>
    <w:next w:val="Z03Arial11"/>
    <w:rsid w:val="00743428"/>
    <w:pPr>
      <w:pBdr>
        <w:bottom w:val="single" w:sz="6" w:space="2" w:color="auto"/>
      </w:pBdr>
      <w:ind w:right="28"/>
    </w:pPr>
    <w:rPr>
      <w:b/>
      <w:caps/>
    </w:rPr>
  </w:style>
  <w:style w:type="paragraph" w:customStyle="1" w:styleId="Z1Pagewd">
    <w:name w:val="Z1_Page_wd"/>
    <w:basedOn w:val="Z03Arial11"/>
    <w:next w:val="11"/>
    <w:rsid w:val="00743428"/>
    <w:pPr>
      <w:jc w:val="right"/>
    </w:pPr>
    <w:rPr>
      <w:b/>
    </w:rPr>
  </w:style>
  <w:style w:type="paragraph" w:styleId="11">
    <w:name w:val="toc 1"/>
    <w:basedOn w:val="a4"/>
    <w:next w:val="a3"/>
    <w:rsid w:val="009E3684"/>
    <w:pPr>
      <w:tabs>
        <w:tab w:val="right" w:pos="9412"/>
      </w:tabs>
      <w:ind w:right="680"/>
    </w:pPr>
    <w:rPr>
      <w:caps/>
    </w:rPr>
  </w:style>
  <w:style w:type="paragraph" w:customStyle="1" w:styleId="Z2Opinion">
    <w:name w:val="Z2_Opinion"/>
    <w:basedOn w:val="Z03Arial11"/>
    <w:next w:val="a4"/>
    <w:rsid w:val="00743428"/>
    <w:rPr>
      <w:b/>
      <w:caps/>
    </w:rPr>
  </w:style>
  <w:style w:type="paragraph" w:customStyle="1" w:styleId="ZX1CompanyName12">
    <w:name w:val="ZX_1CompanyName_12"/>
    <w:basedOn w:val="Z03Arial11"/>
    <w:rsid w:val="00743428"/>
    <w:rPr>
      <w:b/>
      <w:caps/>
      <w:sz w:val="24"/>
      <w:szCs w:val="24"/>
    </w:rPr>
  </w:style>
  <w:style w:type="paragraph" w:customStyle="1" w:styleId="ZX2Subhead">
    <w:name w:val="ZX_2Subhead"/>
    <w:basedOn w:val="Z03Arial11"/>
    <w:next w:val="a4"/>
    <w:rsid w:val="00743428"/>
    <w:rPr>
      <w:b/>
      <w:caps/>
      <w:szCs w:val="20"/>
    </w:rPr>
  </w:style>
  <w:style w:type="paragraph" w:customStyle="1" w:styleId="ZX3Currency">
    <w:name w:val="ZX_3Currency"/>
    <w:basedOn w:val="Z03Arial11"/>
    <w:next w:val="a4"/>
    <w:rsid w:val="00743428"/>
    <w:pPr>
      <w:pBdr>
        <w:bottom w:val="single" w:sz="6" w:space="0" w:color="auto"/>
      </w:pBdr>
      <w:ind w:right="28"/>
    </w:pPr>
    <w:rPr>
      <w:b/>
      <w:i/>
      <w:szCs w:val="20"/>
    </w:rPr>
  </w:style>
  <w:style w:type="paragraph" w:customStyle="1" w:styleId="tblText00">
    <w:name w:val="tbl'Text_00"/>
    <w:basedOn w:val="a4"/>
    <w:rsid w:val="00127E79"/>
    <w:rPr>
      <w:sz w:val="18"/>
      <w:szCs w:val="20"/>
      <w:lang w:eastAsia="en-US"/>
    </w:rPr>
  </w:style>
  <w:style w:type="paragraph" w:customStyle="1" w:styleId="tblHeaderText">
    <w:name w:val="tbl'HeaderText"/>
    <w:basedOn w:val="tblText00"/>
    <w:rsid w:val="00127E79"/>
    <w:pPr>
      <w:jc w:val="center"/>
    </w:pPr>
    <w:rPr>
      <w:b/>
      <w:spacing w:val="-2"/>
    </w:rPr>
  </w:style>
  <w:style w:type="paragraph" w:customStyle="1" w:styleId="tblNumber00">
    <w:name w:val="tbl'Number_00"/>
    <w:basedOn w:val="tblText00"/>
    <w:rsid w:val="00127E79"/>
    <w:pPr>
      <w:jc w:val="right"/>
    </w:pPr>
  </w:style>
  <w:style w:type="paragraph" w:customStyle="1" w:styleId="tblNumber01">
    <w:name w:val="tbl'Number_01"/>
    <w:basedOn w:val="tblText00"/>
    <w:rsid w:val="00127E79"/>
    <w:pPr>
      <w:ind w:right="57"/>
      <w:jc w:val="right"/>
    </w:pPr>
  </w:style>
  <w:style w:type="paragraph" w:customStyle="1" w:styleId="tblNumberDash">
    <w:name w:val="tbl'Number_Dash"/>
    <w:basedOn w:val="tblText00"/>
    <w:rsid w:val="00127E79"/>
    <w:pPr>
      <w:ind w:right="74"/>
      <w:jc w:val="right"/>
    </w:pPr>
  </w:style>
  <w:style w:type="paragraph" w:customStyle="1" w:styleId="tblText02">
    <w:name w:val="tbl'Text_02"/>
    <w:basedOn w:val="tblText00"/>
    <w:rsid w:val="00743428"/>
    <w:pPr>
      <w:ind w:left="113" w:hanging="113"/>
    </w:pPr>
  </w:style>
  <w:style w:type="paragraph" w:customStyle="1" w:styleId="tblText05">
    <w:name w:val="tbl'Text_05"/>
    <w:basedOn w:val="tblText02"/>
    <w:rsid w:val="00743428"/>
    <w:pPr>
      <w:ind w:left="397"/>
    </w:pPr>
  </w:style>
  <w:style w:type="paragraph" w:customStyle="1" w:styleId="tblText10">
    <w:name w:val="tbl'Text_10"/>
    <w:basedOn w:val="tblText05"/>
    <w:rsid w:val="00743428"/>
    <w:pPr>
      <w:ind w:left="680"/>
    </w:pPr>
  </w:style>
  <w:style w:type="paragraph" w:customStyle="1" w:styleId="tblText15">
    <w:name w:val="tbl'Text_15"/>
    <w:basedOn w:val="tblText10"/>
    <w:rsid w:val="00743428"/>
    <w:pPr>
      <w:ind w:left="964"/>
    </w:pPr>
  </w:style>
  <w:style w:type="paragraph" w:customStyle="1" w:styleId="tblTextRegCaps">
    <w:name w:val="tbl'Text_Reg_Caps"/>
    <w:basedOn w:val="tblText02"/>
    <w:rsid w:val="00743428"/>
    <w:rPr>
      <w:caps/>
    </w:rPr>
  </w:style>
  <w:style w:type="table" w:customStyle="1" w:styleId="MLTable">
    <w:name w:val="ML Table"/>
    <w:basedOn w:val="a9"/>
    <w:semiHidden/>
    <w:rsid w:val="00743428"/>
    <w:pPr>
      <w:spacing w:before="40" w:after="40"/>
    </w:pPr>
    <w:tblPr>
      <w:jc w:val="center"/>
      <w:tblInd w:w="0" w:type="dxa"/>
      <w:tblBorders>
        <w:top w:val="single" w:sz="4" w:space="0" w:color="auto"/>
        <w:left w:val="single" w:sz="4" w:space="0" w:color="auto"/>
        <w:bottom w:val="single" w:sz="4" w:space="0" w:color="auto"/>
        <w:right w:val="single" w:sz="4" w:space="0" w:color="auto"/>
        <w:insideV w:val="single" w:sz="4" w:space="0" w:color="auto"/>
      </w:tblBorders>
      <w:tblCellMar>
        <w:top w:w="0" w:type="dxa"/>
        <w:left w:w="28" w:type="dxa"/>
        <w:bottom w:w="0" w:type="dxa"/>
        <w:right w:w="28" w:type="dxa"/>
      </w:tblCellMar>
    </w:tblPr>
    <w:trPr>
      <w:jc w:val="center"/>
    </w:trPr>
    <w:tblStylePr w:type="firstRow">
      <w:pPr>
        <w:jc w:val="center"/>
      </w:pPr>
      <w:rPr>
        <w:b/>
        <w:sz w:val="20"/>
      </w:rPr>
      <w:tblPr/>
      <w:tcPr>
        <w:tcBorders>
          <w:top w:val="double" w:sz="4" w:space="0" w:color="auto"/>
          <w:bottom w:val="double" w:sz="4" w:space="0" w:color="auto"/>
        </w:tcBorders>
      </w:tcPr>
    </w:tblStylePr>
  </w:style>
  <w:style w:type="table" w:styleId="a9">
    <w:name w:val="Table Grid"/>
    <w:basedOn w:val="a6"/>
    <w:semiHidden/>
    <w:rsid w:val="00743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rsid w:val="00743428"/>
    <w:rPr>
      <w:sz w:val="22"/>
      <w:szCs w:val="22"/>
    </w:rPr>
  </w:style>
  <w:style w:type="paragraph" w:styleId="23">
    <w:name w:val="Body Text 2"/>
    <w:basedOn w:val="a4"/>
    <w:link w:val="25"/>
    <w:rsid w:val="00743428"/>
    <w:pPr>
      <w:ind w:left="476"/>
    </w:pPr>
    <w:rPr>
      <w:color w:val="000066"/>
    </w:rPr>
  </w:style>
  <w:style w:type="paragraph" w:styleId="34">
    <w:name w:val="Body Text 3"/>
    <w:basedOn w:val="a4"/>
    <w:rsid w:val="00127E79"/>
    <w:rPr>
      <w:sz w:val="18"/>
      <w:szCs w:val="16"/>
    </w:rPr>
  </w:style>
  <w:style w:type="paragraph" w:customStyle="1" w:styleId="Disclaimer">
    <w:name w:val="Disclaimer"/>
    <w:basedOn w:val="a4"/>
    <w:rsid w:val="00743428"/>
    <w:pPr>
      <w:jc w:val="center"/>
    </w:pPr>
    <w:rPr>
      <w:caps/>
      <w:sz w:val="14"/>
      <w:szCs w:val="16"/>
    </w:rPr>
  </w:style>
  <w:style w:type="character" w:styleId="ab">
    <w:name w:val="Emphasis"/>
    <w:qFormat/>
    <w:rsid w:val="00743428"/>
    <w:rPr>
      <w:b/>
      <w:i/>
      <w:iCs/>
    </w:rPr>
  </w:style>
  <w:style w:type="paragraph" w:styleId="ac">
    <w:name w:val="footer"/>
    <w:basedOn w:val="a4"/>
    <w:link w:val="ad"/>
    <w:uiPriority w:val="99"/>
    <w:rsid w:val="00127E79"/>
    <w:pPr>
      <w:tabs>
        <w:tab w:val="center" w:pos="4706"/>
      </w:tabs>
      <w:spacing w:before="240"/>
      <w:jc w:val="center"/>
    </w:pPr>
    <w:rPr>
      <w:sz w:val="18"/>
    </w:rPr>
  </w:style>
  <w:style w:type="character" w:styleId="ae">
    <w:name w:val="footnote reference"/>
    <w:rsid w:val="00743428"/>
    <w:rPr>
      <w:vertAlign w:val="superscript"/>
    </w:rPr>
  </w:style>
  <w:style w:type="paragraph" w:styleId="af">
    <w:name w:val="footnote text"/>
    <w:basedOn w:val="a4"/>
    <w:rsid w:val="00821069"/>
    <w:pPr>
      <w:ind w:left="589" w:hanging="113"/>
    </w:pPr>
    <w:rPr>
      <w:sz w:val="18"/>
      <w:szCs w:val="20"/>
    </w:rPr>
  </w:style>
  <w:style w:type="paragraph" w:customStyle="1" w:styleId="GreyBox">
    <w:name w:val="GreyBox"/>
    <w:basedOn w:val="a4"/>
    <w:rsid w:val="00127E79"/>
    <w:pPr>
      <w:keepNext/>
      <w:pageBreakBefore/>
      <w:widowControl w:val="0"/>
      <w:pBdr>
        <w:top w:val="double" w:sz="6" w:space="6" w:color="auto"/>
        <w:left w:val="double" w:sz="6" w:space="0" w:color="auto"/>
        <w:bottom w:val="double" w:sz="6" w:space="0" w:color="auto"/>
        <w:right w:val="double" w:sz="6" w:space="0" w:color="auto"/>
      </w:pBdr>
      <w:shd w:val="pct5" w:color="auto" w:fill="auto"/>
      <w:suppressAutoHyphens/>
      <w:spacing w:before="240" w:line="360" w:lineRule="auto"/>
      <w:ind w:left="57" w:right="57"/>
      <w:jc w:val="center"/>
    </w:pPr>
    <w:rPr>
      <w:b/>
      <w:caps/>
      <w:sz w:val="18"/>
    </w:rPr>
  </w:style>
  <w:style w:type="paragraph" w:styleId="af0">
    <w:name w:val="header"/>
    <w:basedOn w:val="a4"/>
    <w:rsid w:val="00127E79"/>
    <w:pPr>
      <w:widowControl w:val="0"/>
      <w:suppressAutoHyphens/>
      <w:spacing w:after="220"/>
      <w:jc w:val="right"/>
    </w:pPr>
    <w:rPr>
      <w:b/>
      <w:caps/>
      <w:sz w:val="18"/>
      <w:szCs w:val="20"/>
      <w:lang w:eastAsia="en-US"/>
    </w:rPr>
  </w:style>
  <w:style w:type="paragraph" w:customStyle="1" w:styleId="MLFooter">
    <w:name w:val="ML Footer"/>
    <w:basedOn w:val="a4"/>
    <w:semiHidden/>
    <w:rsid w:val="00743428"/>
    <w:pPr>
      <w:pBdr>
        <w:top w:val="single" w:sz="6" w:space="0" w:color="auto"/>
      </w:pBdr>
      <w:tabs>
        <w:tab w:val="right" w:pos="8789"/>
      </w:tabs>
      <w:spacing w:before="240"/>
      <w:ind w:right="28"/>
      <w:jc w:val="both"/>
    </w:pPr>
    <w:rPr>
      <w:i/>
      <w:sz w:val="24"/>
    </w:rPr>
  </w:style>
  <w:style w:type="paragraph" w:customStyle="1" w:styleId="MLHeader">
    <w:name w:val="ML Header"/>
    <w:basedOn w:val="a4"/>
    <w:semiHidden/>
    <w:rsid w:val="00743428"/>
    <w:pPr>
      <w:pBdr>
        <w:bottom w:val="single" w:sz="6" w:space="0" w:color="auto"/>
      </w:pBdr>
      <w:spacing w:after="220"/>
      <w:ind w:right="28"/>
      <w:jc w:val="both"/>
    </w:pPr>
    <w:rPr>
      <w:b/>
      <w:i/>
    </w:rPr>
  </w:style>
  <w:style w:type="numbering" w:styleId="111111">
    <w:name w:val="Outline List 2"/>
    <w:basedOn w:val="a7"/>
    <w:semiHidden/>
    <w:rsid w:val="00743428"/>
    <w:pPr>
      <w:numPr>
        <w:numId w:val="2"/>
      </w:numPr>
    </w:pPr>
  </w:style>
  <w:style w:type="numbering" w:styleId="1ai">
    <w:name w:val="Outline List 1"/>
    <w:basedOn w:val="a7"/>
    <w:semiHidden/>
    <w:rsid w:val="00743428"/>
    <w:pPr>
      <w:numPr>
        <w:numId w:val="3"/>
      </w:numPr>
    </w:pPr>
  </w:style>
  <w:style w:type="numbering" w:styleId="a1">
    <w:name w:val="Outline List 3"/>
    <w:basedOn w:val="a7"/>
    <w:semiHidden/>
    <w:rsid w:val="00743428"/>
    <w:pPr>
      <w:numPr>
        <w:numId w:val="4"/>
      </w:numPr>
    </w:pPr>
  </w:style>
  <w:style w:type="paragraph" w:styleId="af1">
    <w:name w:val="Block Text"/>
    <w:basedOn w:val="a3"/>
    <w:semiHidden/>
    <w:rsid w:val="00743428"/>
    <w:pPr>
      <w:spacing w:after="120"/>
      <w:ind w:left="1440" w:right="1440"/>
    </w:pPr>
    <w:rPr>
      <w:lang w:val="ru-RU"/>
    </w:rPr>
  </w:style>
  <w:style w:type="paragraph" w:styleId="af2">
    <w:name w:val="Body Text First Indent"/>
    <w:basedOn w:val="a4"/>
    <w:semiHidden/>
    <w:rsid w:val="00743428"/>
    <w:pPr>
      <w:spacing w:after="120"/>
      <w:ind w:firstLine="210"/>
    </w:pPr>
    <w:rPr>
      <w:szCs w:val="24"/>
    </w:rPr>
  </w:style>
  <w:style w:type="paragraph" w:styleId="af3">
    <w:name w:val="Body Text Indent"/>
    <w:basedOn w:val="a3"/>
    <w:semiHidden/>
    <w:rsid w:val="00743428"/>
    <w:pPr>
      <w:spacing w:after="120"/>
      <w:ind w:left="283"/>
    </w:pPr>
    <w:rPr>
      <w:lang w:val="ru-RU"/>
    </w:rPr>
  </w:style>
  <w:style w:type="paragraph" w:styleId="26">
    <w:name w:val="Body Text First Indent 2"/>
    <w:basedOn w:val="af3"/>
    <w:semiHidden/>
    <w:rsid w:val="00743428"/>
    <w:pPr>
      <w:ind w:firstLine="210"/>
    </w:pPr>
  </w:style>
  <w:style w:type="paragraph" w:styleId="27">
    <w:name w:val="Body Text Indent 2"/>
    <w:basedOn w:val="a3"/>
    <w:semiHidden/>
    <w:rsid w:val="00743428"/>
    <w:pPr>
      <w:spacing w:after="120" w:line="480" w:lineRule="auto"/>
      <w:ind w:left="283"/>
    </w:pPr>
    <w:rPr>
      <w:lang w:val="ru-RU"/>
    </w:rPr>
  </w:style>
  <w:style w:type="paragraph" w:styleId="35">
    <w:name w:val="Body Text Indent 3"/>
    <w:basedOn w:val="a3"/>
    <w:semiHidden/>
    <w:rsid w:val="00743428"/>
    <w:pPr>
      <w:spacing w:after="120"/>
      <w:ind w:left="283"/>
    </w:pPr>
    <w:rPr>
      <w:sz w:val="16"/>
      <w:szCs w:val="16"/>
      <w:lang w:val="ru-RU"/>
    </w:rPr>
  </w:style>
  <w:style w:type="paragraph" w:styleId="af4">
    <w:name w:val="Closing"/>
    <w:basedOn w:val="a3"/>
    <w:semiHidden/>
    <w:rsid w:val="00743428"/>
    <w:pPr>
      <w:ind w:left="4252"/>
    </w:pPr>
    <w:rPr>
      <w:lang w:val="ru-RU"/>
    </w:rPr>
  </w:style>
  <w:style w:type="paragraph" w:styleId="af5">
    <w:name w:val="Date"/>
    <w:basedOn w:val="a3"/>
    <w:next w:val="a3"/>
    <w:semiHidden/>
    <w:rsid w:val="00743428"/>
    <w:rPr>
      <w:lang w:val="ru-RU"/>
    </w:rPr>
  </w:style>
  <w:style w:type="paragraph" w:styleId="af6">
    <w:name w:val="E-mail Signature"/>
    <w:basedOn w:val="a3"/>
    <w:semiHidden/>
    <w:rsid w:val="00743428"/>
    <w:rPr>
      <w:lang w:val="ru-RU"/>
    </w:rPr>
  </w:style>
  <w:style w:type="paragraph" w:styleId="af7">
    <w:name w:val="envelope address"/>
    <w:basedOn w:val="a3"/>
    <w:semiHidden/>
    <w:rsid w:val="00743428"/>
    <w:pPr>
      <w:framePr w:w="7920" w:h="1980" w:hRule="exact" w:hSpace="180" w:wrap="auto" w:hAnchor="page" w:xAlign="center" w:yAlign="bottom"/>
      <w:ind w:left="2880"/>
    </w:pPr>
    <w:rPr>
      <w:rFonts w:ascii="Arial" w:hAnsi="Arial" w:cs="Arial"/>
      <w:sz w:val="24"/>
      <w:lang w:val="ru-RU"/>
    </w:rPr>
  </w:style>
  <w:style w:type="paragraph" w:styleId="28">
    <w:name w:val="envelope return"/>
    <w:basedOn w:val="a3"/>
    <w:semiHidden/>
    <w:rsid w:val="00743428"/>
    <w:rPr>
      <w:rFonts w:ascii="Arial" w:hAnsi="Arial" w:cs="Arial"/>
      <w:sz w:val="20"/>
      <w:szCs w:val="20"/>
      <w:lang w:val="ru-RU"/>
    </w:rPr>
  </w:style>
  <w:style w:type="character" w:styleId="af8">
    <w:name w:val="FollowedHyperlink"/>
    <w:semiHidden/>
    <w:rsid w:val="00743428"/>
    <w:rPr>
      <w:color w:val="800080"/>
      <w:u w:val="single"/>
    </w:rPr>
  </w:style>
  <w:style w:type="character" w:styleId="HTML">
    <w:name w:val="HTML Acronym"/>
    <w:basedOn w:val="a5"/>
    <w:semiHidden/>
    <w:rsid w:val="00743428"/>
  </w:style>
  <w:style w:type="paragraph" w:styleId="HTML0">
    <w:name w:val="HTML Address"/>
    <w:basedOn w:val="a3"/>
    <w:semiHidden/>
    <w:rsid w:val="00743428"/>
    <w:rPr>
      <w:i/>
      <w:iCs/>
      <w:lang w:val="ru-RU"/>
    </w:rPr>
  </w:style>
  <w:style w:type="character" w:styleId="HTML1">
    <w:name w:val="HTML Cite"/>
    <w:semiHidden/>
    <w:rsid w:val="00743428"/>
    <w:rPr>
      <w:i/>
      <w:iCs/>
    </w:rPr>
  </w:style>
  <w:style w:type="character" w:styleId="HTML2">
    <w:name w:val="HTML Code"/>
    <w:semiHidden/>
    <w:rsid w:val="00743428"/>
    <w:rPr>
      <w:rFonts w:ascii="Courier New" w:hAnsi="Courier New" w:cs="Courier New"/>
      <w:sz w:val="20"/>
      <w:szCs w:val="20"/>
    </w:rPr>
  </w:style>
  <w:style w:type="character" w:styleId="HTML3">
    <w:name w:val="HTML Definition"/>
    <w:semiHidden/>
    <w:rsid w:val="00743428"/>
    <w:rPr>
      <w:i/>
      <w:iCs/>
    </w:rPr>
  </w:style>
  <w:style w:type="character" w:styleId="HTML4">
    <w:name w:val="HTML Keyboard"/>
    <w:semiHidden/>
    <w:rsid w:val="00743428"/>
    <w:rPr>
      <w:rFonts w:ascii="Courier New" w:hAnsi="Courier New" w:cs="Courier New"/>
      <w:sz w:val="20"/>
      <w:szCs w:val="20"/>
    </w:rPr>
  </w:style>
  <w:style w:type="paragraph" w:styleId="HTML5">
    <w:name w:val="HTML Preformatted"/>
    <w:basedOn w:val="a3"/>
    <w:semiHidden/>
    <w:rsid w:val="00743428"/>
    <w:rPr>
      <w:rFonts w:ascii="Courier New" w:hAnsi="Courier New" w:cs="Courier New"/>
      <w:sz w:val="20"/>
      <w:szCs w:val="20"/>
      <w:lang w:val="ru-RU"/>
    </w:rPr>
  </w:style>
  <w:style w:type="character" w:styleId="HTML6">
    <w:name w:val="HTML Sample"/>
    <w:semiHidden/>
    <w:rsid w:val="00743428"/>
    <w:rPr>
      <w:rFonts w:ascii="Courier New" w:hAnsi="Courier New" w:cs="Courier New"/>
    </w:rPr>
  </w:style>
  <w:style w:type="character" w:styleId="HTML7">
    <w:name w:val="HTML Typewriter"/>
    <w:semiHidden/>
    <w:rsid w:val="00743428"/>
    <w:rPr>
      <w:rFonts w:ascii="Courier New" w:hAnsi="Courier New" w:cs="Courier New"/>
      <w:sz w:val="20"/>
      <w:szCs w:val="20"/>
    </w:rPr>
  </w:style>
  <w:style w:type="character" w:styleId="HTML8">
    <w:name w:val="HTML Variable"/>
    <w:semiHidden/>
    <w:rsid w:val="00743428"/>
    <w:rPr>
      <w:i/>
      <w:iCs/>
    </w:rPr>
  </w:style>
  <w:style w:type="character" w:styleId="af9">
    <w:name w:val="Hyperlink"/>
    <w:semiHidden/>
    <w:rsid w:val="00743428"/>
    <w:rPr>
      <w:color w:val="0000FF"/>
      <w:u w:val="single"/>
    </w:rPr>
  </w:style>
  <w:style w:type="character" w:styleId="afa">
    <w:name w:val="line number"/>
    <w:basedOn w:val="a5"/>
    <w:semiHidden/>
    <w:rsid w:val="00743428"/>
  </w:style>
  <w:style w:type="paragraph" w:styleId="43">
    <w:name w:val="List 4"/>
    <w:basedOn w:val="a3"/>
    <w:semiHidden/>
    <w:rsid w:val="00743428"/>
    <w:pPr>
      <w:ind w:left="1132" w:hanging="283"/>
    </w:pPr>
    <w:rPr>
      <w:lang w:val="ru-RU"/>
    </w:rPr>
  </w:style>
  <w:style w:type="paragraph" w:styleId="53">
    <w:name w:val="List 5"/>
    <w:basedOn w:val="a3"/>
    <w:semiHidden/>
    <w:rsid w:val="00743428"/>
    <w:pPr>
      <w:ind w:left="1415" w:hanging="283"/>
    </w:pPr>
    <w:rPr>
      <w:lang w:val="ru-RU"/>
    </w:rPr>
  </w:style>
  <w:style w:type="paragraph" w:styleId="40">
    <w:name w:val="List Bullet 4"/>
    <w:basedOn w:val="a3"/>
    <w:autoRedefine/>
    <w:semiHidden/>
    <w:rsid w:val="00743428"/>
    <w:pPr>
      <w:numPr>
        <w:numId w:val="5"/>
      </w:numPr>
    </w:pPr>
    <w:rPr>
      <w:lang w:val="ru-RU"/>
    </w:rPr>
  </w:style>
  <w:style w:type="paragraph" w:styleId="50">
    <w:name w:val="List Bullet 5"/>
    <w:basedOn w:val="a3"/>
    <w:autoRedefine/>
    <w:semiHidden/>
    <w:rsid w:val="00743428"/>
    <w:pPr>
      <w:numPr>
        <w:numId w:val="6"/>
      </w:numPr>
    </w:pPr>
    <w:rPr>
      <w:lang w:val="ru-RU"/>
    </w:rPr>
  </w:style>
  <w:style w:type="paragraph" w:styleId="afb">
    <w:name w:val="List Continue"/>
    <w:basedOn w:val="a3"/>
    <w:semiHidden/>
    <w:rsid w:val="00743428"/>
    <w:pPr>
      <w:spacing w:after="120"/>
      <w:ind w:left="283"/>
    </w:pPr>
    <w:rPr>
      <w:lang w:val="ru-RU"/>
    </w:rPr>
  </w:style>
  <w:style w:type="paragraph" w:styleId="29">
    <w:name w:val="List Continue 2"/>
    <w:basedOn w:val="a3"/>
    <w:semiHidden/>
    <w:rsid w:val="00743428"/>
    <w:pPr>
      <w:spacing w:after="120"/>
      <w:ind w:left="566"/>
    </w:pPr>
    <w:rPr>
      <w:lang w:val="ru-RU"/>
    </w:rPr>
  </w:style>
  <w:style w:type="paragraph" w:styleId="36">
    <w:name w:val="List Continue 3"/>
    <w:basedOn w:val="a3"/>
    <w:semiHidden/>
    <w:rsid w:val="00743428"/>
    <w:pPr>
      <w:spacing w:after="120"/>
      <w:ind w:left="849"/>
    </w:pPr>
    <w:rPr>
      <w:lang w:val="ru-RU"/>
    </w:rPr>
  </w:style>
  <w:style w:type="paragraph" w:styleId="44">
    <w:name w:val="List Continue 4"/>
    <w:basedOn w:val="a3"/>
    <w:semiHidden/>
    <w:rsid w:val="00743428"/>
    <w:pPr>
      <w:spacing w:after="120"/>
      <w:ind w:left="1132"/>
    </w:pPr>
    <w:rPr>
      <w:lang w:val="ru-RU"/>
    </w:rPr>
  </w:style>
  <w:style w:type="paragraph" w:styleId="54">
    <w:name w:val="List Continue 5"/>
    <w:basedOn w:val="a3"/>
    <w:semiHidden/>
    <w:rsid w:val="00743428"/>
    <w:pPr>
      <w:spacing w:after="120"/>
      <w:ind w:left="1415"/>
    </w:pPr>
    <w:rPr>
      <w:lang w:val="ru-RU"/>
    </w:rPr>
  </w:style>
  <w:style w:type="paragraph" w:styleId="4">
    <w:name w:val="List Number 4"/>
    <w:basedOn w:val="a3"/>
    <w:semiHidden/>
    <w:rsid w:val="00743428"/>
    <w:pPr>
      <w:numPr>
        <w:numId w:val="7"/>
      </w:numPr>
    </w:pPr>
    <w:rPr>
      <w:lang w:val="ru-RU"/>
    </w:rPr>
  </w:style>
  <w:style w:type="paragraph" w:styleId="5">
    <w:name w:val="List Number 5"/>
    <w:basedOn w:val="a3"/>
    <w:semiHidden/>
    <w:rsid w:val="00743428"/>
    <w:pPr>
      <w:numPr>
        <w:numId w:val="8"/>
      </w:numPr>
    </w:pPr>
    <w:rPr>
      <w:lang w:val="ru-RU"/>
    </w:rPr>
  </w:style>
  <w:style w:type="paragraph" w:styleId="afc">
    <w:name w:val="Message Header"/>
    <w:basedOn w:val="a3"/>
    <w:semiHidden/>
    <w:rsid w:val="0074342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lang w:val="ru-RU"/>
    </w:rPr>
  </w:style>
  <w:style w:type="paragraph" w:styleId="afd">
    <w:name w:val="Normal (Web)"/>
    <w:basedOn w:val="a3"/>
    <w:semiHidden/>
    <w:rsid w:val="00743428"/>
    <w:rPr>
      <w:sz w:val="24"/>
      <w:lang w:val="ru-RU"/>
    </w:rPr>
  </w:style>
  <w:style w:type="paragraph" w:styleId="afe">
    <w:name w:val="Normal Indent"/>
    <w:basedOn w:val="a3"/>
    <w:semiHidden/>
    <w:rsid w:val="00743428"/>
    <w:pPr>
      <w:ind w:left="708"/>
    </w:pPr>
    <w:rPr>
      <w:lang w:val="ru-RU"/>
    </w:rPr>
  </w:style>
  <w:style w:type="paragraph" w:styleId="aff">
    <w:name w:val="Note Heading"/>
    <w:basedOn w:val="a3"/>
    <w:next w:val="a3"/>
    <w:semiHidden/>
    <w:rsid w:val="00743428"/>
    <w:rPr>
      <w:lang w:val="ru-RU"/>
    </w:rPr>
  </w:style>
  <w:style w:type="paragraph" w:styleId="aff0">
    <w:name w:val="Plain Text"/>
    <w:basedOn w:val="a3"/>
    <w:semiHidden/>
    <w:rsid w:val="00743428"/>
    <w:rPr>
      <w:rFonts w:ascii="Courier New" w:hAnsi="Courier New" w:cs="Courier New"/>
      <w:sz w:val="20"/>
      <w:szCs w:val="20"/>
      <w:lang w:val="ru-RU"/>
    </w:rPr>
  </w:style>
  <w:style w:type="paragraph" w:styleId="aff1">
    <w:name w:val="Salutation"/>
    <w:basedOn w:val="a3"/>
    <w:next w:val="a3"/>
    <w:semiHidden/>
    <w:rsid w:val="00743428"/>
    <w:rPr>
      <w:lang w:val="ru-RU"/>
    </w:rPr>
  </w:style>
  <w:style w:type="paragraph" w:styleId="aff2">
    <w:name w:val="caption"/>
    <w:basedOn w:val="a3"/>
    <w:next w:val="a3"/>
    <w:qFormat/>
    <w:rsid w:val="00B4709B"/>
    <w:pPr>
      <w:spacing w:before="120" w:after="120"/>
    </w:pPr>
    <w:rPr>
      <w:b/>
      <w:bCs/>
      <w:sz w:val="20"/>
      <w:szCs w:val="20"/>
      <w:lang w:val="ru-RU"/>
    </w:rPr>
  </w:style>
  <w:style w:type="paragraph" w:styleId="aff3">
    <w:name w:val="Subtitle"/>
    <w:basedOn w:val="a3"/>
    <w:qFormat/>
    <w:rsid w:val="00743428"/>
    <w:pPr>
      <w:spacing w:after="60"/>
      <w:jc w:val="center"/>
      <w:outlineLvl w:val="1"/>
    </w:pPr>
    <w:rPr>
      <w:rFonts w:ascii="Arial" w:hAnsi="Arial" w:cs="Arial"/>
      <w:sz w:val="24"/>
      <w:lang w:val="ru-RU"/>
    </w:rPr>
  </w:style>
  <w:style w:type="table" w:styleId="12">
    <w:name w:val="Table 3D effects 1"/>
    <w:basedOn w:val="a6"/>
    <w:semiHidden/>
    <w:rsid w:val="00743428"/>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a">
    <w:name w:val="Table 3D effects 2"/>
    <w:basedOn w:val="a6"/>
    <w:semiHidden/>
    <w:rsid w:val="00743428"/>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7">
    <w:name w:val="Table 3D effects 3"/>
    <w:basedOn w:val="a6"/>
    <w:semiHidden/>
    <w:rsid w:val="0074342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3">
    <w:name w:val="Table Classic 1"/>
    <w:basedOn w:val="a6"/>
    <w:semiHidden/>
    <w:rsid w:val="0074342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6"/>
    <w:semiHidden/>
    <w:rsid w:val="0074342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6"/>
    <w:semiHidden/>
    <w:rsid w:val="00743428"/>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6"/>
    <w:semiHidden/>
    <w:rsid w:val="0074342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4">
    <w:name w:val="Table Colorful 1"/>
    <w:basedOn w:val="a6"/>
    <w:semiHidden/>
    <w:rsid w:val="00743428"/>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6"/>
    <w:semiHidden/>
    <w:rsid w:val="00743428"/>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9">
    <w:name w:val="Table Colorful 3"/>
    <w:basedOn w:val="a6"/>
    <w:semiHidden/>
    <w:rsid w:val="00743428"/>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5">
    <w:name w:val="Table Columns 1"/>
    <w:basedOn w:val="a6"/>
    <w:semiHidden/>
    <w:rsid w:val="0074342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6"/>
    <w:semiHidden/>
    <w:rsid w:val="00743428"/>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6"/>
    <w:semiHidden/>
    <w:rsid w:val="00743428"/>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6"/>
    <w:semiHidden/>
    <w:rsid w:val="00743428"/>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6"/>
    <w:semiHidden/>
    <w:rsid w:val="0074342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4">
    <w:name w:val="Table Contemporary"/>
    <w:basedOn w:val="a6"/>
    <w:semiHidden/>
    <w:rsid w:val="0074342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5">
    <w:name w:val="Table Elegant"/>
    <w:basedOn w:val="a6"/>
    <w:semiHidden/>
    <w:rsid w:val="0074342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Grid 1"/>
    <w:basedOn w:val="a6"/>
    <w:semiHidden/>
    <w:rsid w:val="0074342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6"/>
    <w:semiHidden/>
    <w:rsid w:val="00743428"/>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6"/>
    <w:semiHidden/>
    <w:rsid w:val="00743428"/>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semiHidden/>
    <w:rsid w:val="00743428"/>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rsid w:val="00743428"/>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6"/>
    <w:semiHidden/>
    <w:rsid w:val="00743428"/>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6"/>
    <w:semiHidden/>
    <w:rsid w:val="00743428"/>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6"/>
    <w:semiHidden/>
    <w:rsid w:val="00743428"/>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6"/>
    <w:semiHidden/>
    <w:rsid w:val="00743428"/>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6"/>
    <w:semiHidden/>
    <w:rsid w:val="0074342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6"/>
    <w:semiHidden/>
    <w:rsid w:val="0074342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semiHidden/>
    <w:rsid w:val="00743428"/>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semiHidden/>
    <w:rsid w:val="00743428"/>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semiHidden/>
    <w:rsid w:val="00743428"/>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semiHidden/>
    <w:rsid w:val="0074342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rsid w:val="0074342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6">
    <w:name w:val="Table Professional"/>
    <w:basedOn w:val="a6"/>
    <w:semiHidden/>
    <w:rsid w:val="0074342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7">
    <w:name w:val="Table Simple 1"/>
    <w:basedOn w:val="a6"/>
    <w:semiHidden/>
    <w:rsid w:val="00743428"/>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6"/>
    <w:semiHidden/>
    <w:rsid w:val="0074342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6"/>
    <w:semiHidden/>
    <w:rsid w:val="00743428"/>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Subtle 1"/>
    <w:basedOn w:val="a6"/>
    <w:semiHidden/>
    <w:rsid w:val="0074342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6"/>
    <w:semiHidden/>
    <w:rsid w:val="00743428"/>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7">
    <w:name w:val="Table Theme"/>
    <w:basedOn w:val="a6"/>
    <w:semiHidden/>
    <w:rsid w:val="00743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0">
    <w:name w:val="Table Web 1"/>
    <w:basedOn w:val="a6"/>
    <w:semiHidden/>
    <w:rsid w:val="00743428"/>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6"/>
    <w:semiHidden/>
    <w:rsid w:val="00743428"/>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6"/>
    <w:semiHidden/>
    <w:rsid w:val="0074342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8">
    <w:name w:val="Title"/>
    <w:basedOn w:val="a3"/>
    <w:qFormat/>
    <w:rsid w:val="00743428"/>
    <w:pPr>
      <w:spacing w:before="240" w:after="60"/>
      <w:jc w:val="center"/>
      <w:outlineLvl w:val="0"/>
    </w:pPr>
    <w:rPr>
      <w:rFonts w:ascii="Arial" w:hAnsi="Arial" w:cs="Arial"/>
      <w:b/>
      <w:bCs/>
      <w:kern w:val="28"/>
      <w:sz w:val="32"/>
      <w:szCs w:val="32"/>
      <w:lang w:val="ru-RU"/>
    </w:rPr>
  </w:style>
  <w:style w:type="paragraph" w:styleId="2f1">
    <w:name w:val="toc 2"/>
    <w:basedOn w:val="11"/>
    <w:next w:val="a3"/>
    <w:rsid w:val="009E3684"/>
    <w:pPr>
      <w:ind w:left="397" w:hanging="113"/>
    </w:pPr>
    <w:rPr>
      <w:caps w:val="0"/>
    </w:rPr>
  </w:style>
  <w:style w:type="paragraph" w:styleId="a0">
    <w:name w:val="List Bullet"/>
    <w:basedOn w:val="a4"/>
    <w:rsid w:val="00ED546E"/>
    <w:pPr>
      <w:numPr>
        <w:numId w:val="9"/>
      </w:numPr>
      <w:spacing w:after="60"/>
    </w:pPr>
  </w:style>
  <w:style w:type="paragraph" w:styleId="20">
    <w:name w:val="List Bullet 2"/>
    <w:basedOn w:val="a0"/>
    <w:rsid w:val="004F3FA7"/>
    <w:pPr>
      <w:numPr>
        <w:numId w:val="10"/>
      </w:numPr>
    </w:pPr>
  </w:style>
  <w:style w:type="paragraph" w:styleId="30">
    <w:name w:val="List Bullet 3"/>
    <w:basedOn w:val="20"/>
    <w:rsid w:val="004F3FA7"/>
    <w:pPr>
      <w:numPr>
        <w:numId w:val="11"/>
      </w:numPr>
    </w:pPr>
  </w:style>
  <w:style w:type="paragraph" w:styleId="a">
    <w:name w:val="List Number"/>
    <w:basedOn w:val="a4"/>
    <w:next w:val="23"/>
    <w:rsid w:val="00E34A58"/>
    <w:pPr>
      <w:numPr>
        <w:numId w:val="12"/>
      </w:numPr>
    </w:pPr>
  </w:style>
  <w:style w:type="paragraph" w:styleId="2">
    <w:name w:val="List Number 2"/>
    <w:basedOn w:val="a"/>
    <w:rsid w:val="00E34A58"/>
    <w:pPr>
      <w:numPr>
        <w:numId w:val="13"/>
      </w:numPr>
    </w:pPr>
  </w:style>
  <w:style w:type="paragraph" w:styleId="3">
    <w:name w:val="List Number 3"/>
    <w:basedOn w:val="2"/>
    <w:rsid w:val="00E34A58"/>
    <w:pPr>
      <w:numPr>
        <w:numId w:val="14"/>
      </w:numPr>
    </w:pPr>
  </w:style>
  <w:style w:type="paragraph" w:styleId="a2">
    <w:name w:val="List"/>
    <w:basedOn w:val="a4"/>
    <w:rsid w:val="00E34A58"/>
    <w:pPr>
      <w:numPr>
        <w:numId w:val="17"/>
      </w:numPr>
      <w:spacing w:after="60"/>
    </w:pPr>
  </w:style>
  <w:style w:type="paragraph" w:styleId="21">
    <w:name w:val="List 2"/>
    <w:basedOn w:val="a2"/>
    <w:rsid w:val="00E34A58"/>
    <w:pPr>
      <w:numPr>
        <w:numId w:val="16"/>
      </w:numPr>
    </w:pPr>
  </w:style>
  <w:style w:type="paragraph" w:styleId="32">
    <w:name w:val="List 3"/>
    <w:basedOn w:val="21"/>
    <w:rsid w:val="00E34A58"/>
    <w:pPr>
      <w:numPr>
        <w:numId w:val="15"/>
      </w:numPr>
    </w:pPr>
  </w:style>
  <w:style w:type="paragraph" w:styleId="aff9">
    <w:name w:val="Balloon Text"/>
    <w:basedOn w:val="a3"/>
    <w:semiHidden/>
    <w:rsid w:val="00B4709B"/>
    <w:rPr>
      <w:rFonts w:ascii="Tahoma" w:hAnsi="Tahoma" w:cs="Tahoma"/>
      <w:sz w:val="16"/>
      <w:szCs w:val="16"/>
      <w:lang w:val="ru-RU"/>
    </w:rPr>
  </w:style>
  <w:style w:type="character" w:styleId="affa">
    <w:name w:val="annotation reference"/>
    <w:semiHidden/>
    <w:rsid w:val="00B4709B"/>
    <w:rPr>
      <w:sz w:val="16"/>
      <w:szCs w:val="16"/>
      <w:lang w:val="ru-RU"/>
    </w:rPr>
  </w:style>
  <w:style w:type="paragraph" w:styleId="affb">
    <w:name w:val="annotation text"/>
    <w:basedOn w:val="a3"/>
    <w:semiHidden/>
    <w:rsid w:val="00B4709B"/>
    <w:rPr>
      <w:sz w:val="20"/>
      <w:szCs w:val="20"/>
      <w:lang w:val="ru-RU"/>
    </w:rPr>
  </w:style>
  <w:style w:type="paragraph" w:styleId="affc">
    <w:name w:val="annotation subject"/>
    <w:basedOn w:val="affb"/>
    <w:next w:val="affb"/>
    <w:semiHidden/>
    <w:rsid w:val="00B4709B"/>
    <w:rPr>
      <w:b/>
      <w:bCs/>
    </w:rPr>
  </w:style>
  <w:style w:type="paragraph" w:styleId="affd">
    <w:name w:val="Document Map"/>
    <w:basedOn w:val="a3"/>
    <w:semiHidden/>
    <w:rsid w:val="00B4709B"/>
    <w:pPr>
      <w:shd w:val="clear" w:color="auto" w:fill="000080"/>
    </w:pPr>
    <w:rPr>
      <w:rFonts w:ascii="Tahoma" w:hAnsi="Tahoma" w:cs="Tahoma"/>
      <w:lang w:val="ru-RU"/>
    </w:rPr>
  </w:style>
  <w:style w:type="character" w:styleId="affe">
    <w:name w:val="endnote reference"/>
    <w:semiHidden/>
    <w:rsid w:val="00B4709B"/>
    <w:rPr>
      <w:vertAlign w:val="superscript"/>
    </w:rPr>
  </w:style>
  <w:style w:type="paragraph" w:styleId="afff">
    <w:name w:val="endnote text"/>
    <w:basedOn w:val="a3"/>
    <w:semiHidden/>
    <w:rsid w:val="00B4709B"/>
    <w:rPr>
      <w:sz w:val="20"/>
      <w:szCs w:val="20"/>
      <w:lang w:val="ru-RU"/>
    </w:rPr>
  </w:style>
  <w:style w:type="paragraph" w:styleId="19">
    <w:name w:val="index 1"/>
    <w:basedOn w:val="a3"/>
    <w:next w:val="a3"/>
    <w:autoRedefine/>
    <w:semiHidden/>
    <w:rsid w:val="00B4709B"/>
    <w:pPr>
      <w:ind w:left="220" w:hanging="220"/>
    </w:pPr>
    <w:rPr>
      <w:lang w:val="ru-RU"/>
    </w:rPr>
  </w:style>
  <w:style w:type="paragraph" w:styleId="2f2">
    <w:name w:val="index 2"/>
    <w:basedOn w:val="a3"/>
    <w:next w:val="a3"/>
    <w:autoRedefine/>
    <w:semiHidden/>
    <w:rsid w:val="00B4709B"/>
    <w:pPr>
      <w:ind w:left="440" w:hanging="220"/>
    </w:pPr>
    <w:rPr>
      <w:lang w:val="ru-RU"/>
    </w:rPr>
  </w:style>
  <w:style w:type="paragraph" w:styleId="3d">
    <w:name w:val="index 3"/>
    <w:basedOn w:val="a3"/>
    <w:next w:val="a3"/>
    <w:autoRedefine/>
    <w:semiHidden/>
    <w:rsid w:val="00B4709B"/>
    <w:pPr>
      <w:ind w:left="660" w:hanging="220"/>
    </w:pPr>
    <w:rPr>
      <w:lang w:val="ru-RU"/>
    </w:rPr>
  </w:style>
  <w:style w:type="paragraph" w:styleId="48">
    <w:name w:val="index 4"/>
    <w:basedOn w:val="a3"/>
    <w:next w:val="a3"/>
    <w:autoRedefine/>
    <w:semiHidden/>
    <w:rsid w:val="00B4709B"/>
    <w:pPr>
      <w:ind w:left="880" w:hanging="220"/>
    </w:pPr>
    <w:rPr>
      <w:lang w:val="ru-RU"/>
    </w:rPr>
  </w:style>
  <w:style w:type="paragraph" w:styleId="57">
    <w:name w:val="index 5"/>
    <w:basedOn w:val="a3"/>
    <w:next w:val="a3"/>
    <w:autoRedefine/>
    <w:semiHidden/>
    <w:rsid w:val="00B4709B"/>
    <w:pPr>
      <w:ind w:left="1100" w:hanging="220"/>
    </w:pPr>
    <w:rPr>
      <w:lang w:val="ru-RU"/>
    </w:rPr>
  </w:style>
  <w:style w:type="paragraph" w:styleId="62">
    <w:name w:val="index 6"/>
    <w:basedOn w:val="a3"/>
    <w:next w:val="a3"/>
    <w:autoRedefine/>
    <w:semiHidden/>
    <w:rsid w:val="00B4709B"/>
    <w:pPr>
      <w:ind w:left="1320" w:hanging="220"/>
    </w:pPr>
    <w:rPr>
      <w:lang w:val="ru-RU"/>
    </w:rPr>
  </w:style>
  <w:style w:type="paragraph" w:styleId="72">
    <w:name w:val="index 7"/>
    <w:basedOn w:val="a3"/>
    <w:next w:val="a3"/>
    <w:autoRedefine/>
    <w:semiHidden/>
    <w:rsid w:val="00B4709B"/>
    <w:pPr>
      <w:ind w:left="1540" w:hanging="220"/>
    </w:pPr>
    <w:rPr>
      <w:lang w:val="ru-RU"/>
    </w:rPr>
  </w:style>
  <w:style w:type="paragraph" w:styleId="82">
    <w:name w:val="index 8"/>
    <w:basedOn w:val="a3"/>
    <w:next w:val="a3"/>
    <w:autoRedefine/>
    <w:semiHidden/>
    <w:rsid w:val="00B4709B"/>
    <w:pPr>
      <w:ind w:left="1760" w:hanging="220"/>
    </w:pPr>
    <w:rPr>
      <w:lang w:val="ru-RU"/>
    </w:rPr>
  </w:style>
  <w:style w:type="paragraph" w:styleId="91">
    <w:name w:val="index 9"/>
    <w:basedOn w:val="a3"/>
    <w:next w:val="a3"/>
    <w:autoRedefine/>
    <w:semiHidden/>
    <w:rsid w:val="00B4709B"/>
    <w:pPr>
      <w:ind w:left="1980" w:hanging="220"/>
    </w:pPr>
    <w:rPr>
      <w:lang w:val="ru-RU"/>
    </w:rPr>
  </w:style>
  <w:style w:type="paragraph" w:styleId="afff0">
    <w:name w:val="index heading"/>
    <w:basedOn w:val="a3"/>
    <w:next w:val="19"/>
    <w:semiHidden/>
    <w:rsid w:val="00B4709B"/>
    <w:rPr>
      <w:rFonts w:ascii="Arial" w:hAnsi="Arial" w:cs="Arial"/>
      <w:b/>
      <w:bCs/>
      <w:lang w:val="ru-RU"/>
    </w:rPr>
  </w:style>
  <w:style w:type="paragraph" w:styleId="afff1">
    <w:name w:val="macro"/>
    <w:semiHidden/>
    <w:rsid w:val="00B470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styleId="afff2">
    <w:name w:val="Strong"/>
    <w:qFormat/>
    <w:rsid w:val="00B4709B"/>
    <w:rPr>
      <w:b/>
      <w:bCs/>
    </w:rPr>
  </w:style>
  <w:style w:type="paragraph" w:styleId="afff3">
    <w:name w:val="table of authorities"/>
    <w:basedOn w:val="a3"/>
    <w:next w:val="a3"/>
    <w:semiHidden/>
    <w:rsid w:val="00B4709B"/>
    <w:pPr>
      <w:ind w:left="220" w:hanging="220"/>
    </w:pPr>
    <w:rPr>
      <w:lang w:val="ru-RU"/>
    </w:rPr>
  </w:style>
  <w:style w:type="paragraph" w:styleId="afff4">
    <w:name w:val="table of figures"/>
    <w:basedOn w:val="a3"/>
    <w:next w:val="a3"/>
    <w:semiHidden/>
    <w:rsid w:val="00B4709B"/>
    <w:pPr>
      <w:ind w:left="440" w:hanging="440"/>
    </w:pPr>
    <w:rPr>
      <w:lang w:val="ru-RU"/>
    </w:rPr>
  </w:style>
  <w:style w:type="paragraph" w:styleId="afff5">
    <w:name w:val="toa heading"/>
    <w:basedOn w:val="a3"/>
    <w:next w:val="a3"/>
    <w:semiHidden/>
    <w:rsid w:val="00B4709B"/>
    <w:pPr>
      <w:spacing w:before="120"/>
    </w:pPr>
    <w:rPr>
      <w:rFonts w:ascii="Arial" w:hAnsi="Arial" w:cs="Arial"/>
      <w:b/>
      <w:bCs/>
      <w:sz w:val="24"/>
      <w:lang w:val="ru-RU"/>
    </w:rPr>
  </w:style>
  <w:style w:type="paragraph" w:styleId="3e">
    <w:name w:val="toc 3"/>
    <w:basedOn w:val="a3"/>
    <w:next w:val="a3"/>
    <w:autoRedefine/>
    <w:semiHidden/>
    <w:rsid w:val="00B4709B"/>
    <w:pPr>
      <w:ind w:left="440"/>
    </w:pPr>
    <w:rPr>
      <w:lang w:val="ru-RU"/>
    </w:rPr>
  </w:style>
  <w:style w:type="paragraph" w:styleId="49">
    <w:name w:val="toc 4"/>
    <w:basedOn w:val="a3"/>
    <w:next w:val="a3"/>
    <w:autoRedefine/>
    <w:semiHidden/>
    <w:rsid w:val="00B4709B"/>
    <w:pPr>
      <w:ind w:left="660"/>
    </w:pPr>
    <w:rPr>
      <w:lang w:val="ru-RU"/>
    </w:rPr>
  </w:style>
  <w:style w:type="paragraph" w:styleId="58">
    <w:name w:val="toc 5"/>
    <w:basedOn w:val="a3"/>
    <w:next w:val="a3"/>
    <w:autoRedefine/>
    <w:semiHidden/>
    <w:rsid w:val="00B4709B"/>
    <w:pPr>
      <w:ind w:left="880"/>
    </w:pPr>
    <w:rPr>
      <w:lang w:val="ru-RU"/>
    </w:rPr>
  </w:style>
  <w:style w:type="paragraph" w:styleId="63">
    <w:name w:val="toc 6"/>
    <w:basedOn w:val="a3"/>
    <w:next w:val="a3"/>
    <w:autoRedefine/>
    <w:semiHidden/>
    <w:rsid w:val="00B4709B"/>
    <w:pPr>
      <w:ind w:left="1100"/>
    </w:pPr>
    <w:rPr>
      <w:lang w:val="ru-RU"/>
    </w:rPr>
  </w:style>
  <w:style w:type="paragraph" w:styleId="73">
    <w:name w:val="toc 7"/>
    <w:basedOn w:val="a3"/>
    <w:next w:val="a3"/>
    <w:autoRedefine/>
    <w:semiHidden/>
    <w:rsid w:val="00B4709B"/>
    <w:pPr>
      <w:ind w:left="1320"/>
    </w:pPr>
    <w:rPr>
      <w:lang w:val="ru-RU"/>
    </w:rPr>
  </w:style>
  <w:style w:type="paragraph" w:styleId="83">
    <w:name w:val="toc 8"/>
    <w:basedOn w:val="a3"/>
    <w:next w:val="a3"/>
    <w:autoRedefine/>
    <w:semiHidden/>
    <w:rsid w:val="00B4709B"/>
    <w:pPr>
      <w:ind w:left="1540"/>
    </w:pPr>
    <w:rPr>
      <w:lang w:val="ru-RU"/>
    </w:rPr>
  </w:style>
  <w:style w:type="paragraph" w:styleId="92">
    <w:name w:val="toc 9"/>
    <w:basedOn w:val="a3"/>
    <w:next w:val="a3"/>
    <w:autoRedefine/>
    <w:semiHidden/>
    <w:rsid w:val="00B4709B"/>
    <w:pPr>
      <w:ind w:left="1760"/>
    </w:pPr>
    <w:rPr>
      <w:lang w:val="ru-RU"/>
    </w:rPr>
  </w:style>
  <w:style w:type="paragraph" w:customStyle="1" w:styleId="tblBullet">
    <w:name w:val="tbl'Bullet"/>
    <w:basedOn w:val="tblText00"/>
    <w:rsid w:val="00127E79"/>
    <w:pPr>
      <w:numPr>
        <w:numId w:val="18"/>
      </w:numPr>
    </w:pPr>
  </w:style>
  <w:style w:type="paragraph" w:customStyle="1" w:styleId="tblBullet2">
    <w:name w:val="tbl'Bullet 2"/>
    <w:basedOn w:val="tblBullet"/>
    <w:rsid w:val="00CF0144"/>
    <w:pPr>
      <w:numPr>
        <w:numId w:val="19"/>
      </w:numPr>
    </w:pPr>
  </w:style>
  <w:style w:type="character" w:customStyle="1" w:styleId="a8">
    <w:name w:val="Основной текст Знак"/>
    <w:link w:val="a4"/>
    <w:rsid w:val="00916675"/>
    <w:rPr>
      <w:rFonts w:ascii="Arial" w:eastAsia="Arial Unicode MS" w:hAnsi="Arial"/>
      <w:szCs w:val="22"/>
      <w:lang w:val="ru-RU" w:eastAsia="ru-RU" w:bidi="ar-SA"/>
    </w:rPr>
  </w:style>
  <w:style w:type="character" w:customStyle="1" w:styleId="10">
    <w:name w:val="Заголовок 1 Знак"/>
    <w:link w:val="1"/>
    <w:rsid w:val="00916675"/>
    <w:rPr>
      <w:rFonts w:ascii="Arial" w:eastAsia="Arial Unicode MS" w:hAnsi="Arial" w:cs="Arial"/>
      <w:b/>
      <w:bCs/>
      <w:caps/>
      <w:szCs w:val="22"/>
      <w:lang w:val="ru-RU" w:eastAsia="ru-RU"/>
    </w:rPr>
  </w:style>
  <w:style w:type="character" w:customStyle="1" w:styleId="24">
    <w:name w:val="Заголовок 2 Знак"/>
    <w:aliases w:val="h2 Знак,h2 main heading Знак,B Sub/Bold Знак,12 Sub/Bold Знак,Heading 2 Char Знак,Heading 2 Char1 Char Знак,Heading 2 Char Char Char Знак,Heading 2 Char1 Char Char Char Знак,Heading 2 Char Char Char Char Char Знак,h2 Char Знак"/>
    <w:link w:val="22"/>
    <w:rsid w:val="00916675"/>
    <w:rPr>
      <w:rFonts w:ascii="Arial" w:eastAsia="Arial Unicode MS" w:hAnsi="Arial" w:cs="Arial"/>
      <w:b/>
      <w:iCs/>
      <w:szCs w:val="22"/>
      <w:lang w:val="ru-RU" w:eastAsia="ru-RU"/>
    </w:rPr>
  </w:style>
  <w:style w:type="character" w:customStyle="1" w:styleId="33">
    <w:name w:val="Заголовок 3 Знак"/>
    <w:aliases w:val="h3 sub heading Знак,C Sub-Sub/Italic Знак,13 Sub-Sub/Italic Знак,Heading 3 Char Знак,Heading 3 Char1 Char Знак,Heading 3 Char Char Char1 Знак,Heading 3 Char1 Char Char Char Знак,Heading 3 Char Char Char1 Char1 Char Знак"/>
    <w:link w:val="31"/>
    <w:rsid w:val="00916675"/>
    <w:rPr>
      <w:rFonts w:ascii="Arial" w:eastAsia="Arial Unicode MS" w:hAnsi="Arial" w:cs="Arial"/>
      <w:b/>
      <w:bCs/>
      <w:i/>
      <w:iCs/>
      <w:szCs w:val="26"/>
      <w:lang w:val="ru-RU" w:eastAsia="ru-RU"/>
    </w:rPr>
  </w:style>
  <w:style w:type="paragraph" w:styleId="afff6">
    <w:name w:val="Revision"/>
    <w:hidden/>
    <w:uiPriority w:val="99"/>
    <w:rsid w:val="00916675"/>
    <w:rPr>
      <w:rFonts w:eastAsia="Times New Roman"/>
      <w:sz w:val="22"/>
      <w:szCs w:val="24"/>
      <w:lang w:val="en-GB"/>
    </w:rPr>
  </w:style>
  <w:style w:type="paragraph" w:customStyle="1" w:styleId="uc0uc0uc0uc0uc0uc01">
    <w:name w:val="Рuc0еuc0цuc0енuc0зuc0иuc0я1"/>
    <w:hidden/>
    <w:rsid w:val="00916675"/>
    <w:pPr>
      <w:autoSpaceDE w:val="0"/>
      <w:autoSpaceDN w:val="0"/>
      <w:adjustRightInd w:val="0"/>
    </w:pPr>
    <w:rPr>
      <w:rFonts w:eastAsia="Times New Roman"/>
      <w:lang w:val="en-US" w:eastAsia="en-US"/>
    </w:rPr>
  </w:style>
  <w:style w:type="paragraph" w:customStyle="1" w:styleId="uc0uc0uc0uc0uc0uc02">
    <w:name w:val="Рuc0еuc0цuc0еuc0нзuc0иuc0я2"/>
    <w:hidden/>
    <w:rsid w:val="00916675"/>
    <w:pPr>
      <w:autoSpaceDE w:val="0"/>
      <w:autoSpaceDN w:val="0"/>
      <w:adjustRightInd w:val="0"/>
    </w:pPr>
    <w:rPr>
      <w:rFonts w:eastAsia="Times New Roman"/>
      <w:lang w:val="en-US" w:eastAsia="en-US"/>
    </w:rPr>
  </w:style>
  <w:style w:type="character" w:customStyle="1" w:styleId="42">
    <w:name w:val="Заголовок 4 Знак"/>
    <w:aliases w:val="Heading 4 Char Знак,Heading 4 Char1 Char1 Знак,Heading 4 Char Char Char Знак,Heading 4 Char1 Char1 Char Char Знак,Heading 4 Char Char Char Char Char Знак,Heading 4 Char1 Char1 Char Char Char Char Знак,H4 Char Char Char Char Знак"/>
    <w:link w:val="41"/>
    <w:rsid w:val="00916675"/>
    <w:rPr>
      <w:rFonts w:ascii="Arial" w:eastAsia="Arial Unicode MS" w:hAnsi="Arial" w:cs="Arial"/>
      <w:iCs/>
      <w:szCs w:val="28"/>
      <w:u w:val="single"/>
      <w:lang w:val="ru-RU" w:eastAsia="ru-RU"/>
    </w:rPr>
  </w:style>
  <w:style w:type="character" w:customStyle="1" w:styleId="52">
    <w:name w:val="Заголовок 5 Знак"/>
    <w:aliases w:val="Heading 5 Char1 Знак,Heading 5 Char Char Знак,Heading 5 Char2 Char Char Знак,Heading 5 Char Char1 Char Char Знак,Level 3 - i Char Char Char Char1 Знак,H5 Char Char Char Char1 Знак,Heading 5 Char1 Char Char Char Char Char Знак,H5 Ch Знак"/>
    <w:link w:val="51"/>
    <w:rsid w:val="00916675"/>
    <w:rPr>
      <w:b/>
      <w:bCs/>
      <w:i/>
      <w:iCs/>
      <w:sz w:val="26"/>
      <w:szCs w:val="26"/>
      <w:lang w:eastAsia="ja-JP"/>
    </w:rPr>
  </w:style>
  <w:style w:type="character" w:customStyle="1" w:styleId="60">
    <w:name w:val="Заголовок 6 Знак"/>
    <w:aliases w:val="Legal Level 1. Знак,H6 Знак"/>
    <w:link w:val="6"/>
    <w:rsid w:val="00916675"/>
    <w:rPr>
      <w:b/>
      <w:bCs/>
      <w:sz w:val="22"/>
      <w:szCs w:val="22"/>
      <w:lang w:eastAsia="ja-JP"/>
    </w:rPr>
  </w:style>
  <w:style w:type="character" w:customStyle="1" w:styleId="70">
    <w:name w:val="Заголовок 7 Знак"/>
    <w:aliases w:val="Legal Level 1.1. Знак"/>
    <w:link w:val="7"/>
    <w:rsid w:val="00916675"/>
    <w:rPr>
      <w:sz w:val="24"/>
      <w:szCs w:val="24"/>
      <w:lang w:eastAsia="ja-JP"/>
    </w:rPr>
  </w:style>
  <w:style w:type="character" w:customStyle="1" w:styleId="80">
    <w:name w:val="Заголовок 8 Знак"/>
    <w:aliases w:val="AppendixSubHead Знак,Legal Level 1.1.1. Знак"/>
    <w:link w:val="8"/>
    <w:rsid w:val="00916675"/>
    <w:rPr>
      <w:i/>
      <w:iCs/>
      <w:sz w:val="24"/>
      <w:szCs w:val="24"/>
      <w:lang w:eastAsia="ja-JP"/>
    </w:rPr>
  </w:style>
  <w:style w:type="character" w:customStyle="1" w:styleId="90">
    <w:name w:val="Заголовок 9 Знак"/>
    <w:aliases w:val="AppendixBodyHead Знак,Legal Level 1.1.1.1. Знак"/>
    <w:link w:val="9"/>
    <w:rsid w:val="00916675"/>
    <w:rPr>
      <w:rFonts w:ascii="Arial" w:hAnsi="Arial" w:cs="Arial"/>
      <w:sz w:val="22"/>
      <w:szCs w:val="22"/>
      <w:lang w:eastAsia="ja-JP"/>
    </w:rPr>
  </w:style>
  <w:style w:type="character" w:customStyle="1" w:styleId="25">
    <w:name w:val="Основной текст 2 Знак"/>
    <w:link w:val="23"/>
    <w:rsid w:val="00690257"/>
    <w:rPr>
      <w:rFonts w:ascii="Arial" w:eastAsia="Arial Unicode MS" w:hAnsi="Arial"/>
      <w:color w:val="000066"/>
      <w:szCs w:val="22"/>
      <w:lang w:val="ru-RU" w:eastAsia="ru-RU"/>
    </w:rPr>
  </w:style>
  <w:style w:type="character" w:customStyle="1" w:styleId="ad">
    <w:name w:val="Нижний колонтитул Знак"/>
    <w:link w:val="ac"/>
    <w:uiPriority w:val="99"/>
    <w:rsid w:val="007448AA"/>
    <w:rPr>
      <w:rFonts w:ascii="Arial" w:eastAsia="Arial Unicode MS" w:hAnsi="Arial"/>
      <w:sz w:val="18"/>
      <w:szCs w:val="22"/>
      <w:lang w:val="ru-RU" w:eastAsia="ru-RU"/>
    </w:rPr>
  </w:style>
  <w:style w:type="character" w:customStyle="1" w:styleId="DeltaViewInsertion">
    <w:name w:val="DeltaView Insertion"/>
    <w:rsid w:val="00D2556E"/>
    <w:rPr>
      <w:color w:val="0000FF"/>
      <w:spacing w:val="0"/>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956992">
      <w:bodyDiv w:val="1"/>
      <w:marLeft w:val="0"/>
      <w:marRight w:val="0"/>
      <w:marTop w:val="0"/>
      <w:marBottom w:val="0"/>
      <w:divBdr>
        <w:top w:val="none" w:sz="0" w:space="0" w:color="auto"/>
        <w:left w:val="none" w:sz="0" w:space="0" w:color="auto"/>
        <w:bottom w:val="none" w:sz="0" w:space="0" w:color="auto"/>
        <w:right w:val="none" w:sz="0" w:space="0" w:color="auto"/>
      </w:divBdr>
    </w:div>
    <w:div w:id="1279334385">
      <w:bodyDiv w:val="1"/>
      <w:marLeft w:val="0"/>
      <w:marRight w:val="0"/>
      <w:marTop w:val="0"/>
      <w:marBottom w:val="0"/>
      <w:divBdr>
        <w:top w:val="none" w:sz="0" w:space="0" w:color="auto"/>
        <w:left w:val="none" w:sz="0" w:space="0" w:color="auto"/>
        <w:bottom w:val="none" w:sz="0" w:space="0" w:color="auto"/>
        <w:right w:val="none" w:sz="0" w:space="0" w:color="auto"/>
      </w:divBdr>
    </w:div>
    <w:div w:id="1704017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lyusgold.com/eng/about/boardofdirectors/Buck/"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lyusgold.com/eng/about/boardofdirectors/656/" TargetMode="External"/><Relationship Id="rId17" Type="http://schemas.openxmlformats.org/officeDocument/2006/relationships/hyperlink" Target="http://www.polyusgold.com/eng/about/boardofdirectors/pikhoya/" TargetMode="External"/><Relationship Id="rId2" Type="http://schemas.openxmlformats.org/officeDocument/2006/relationships/numbering" Target="numbering.xml"/><Relationship Id="rId16" Type="http://schemas.openxmlformats.org/officeDocument/2006/relationships/hyperlink" Target="http://www.polyusgold.com/eng/about/boardofdirectors/54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polyusgold.com/eng/about/boardofdirectors/moolman/" TargetMode="Externa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polyusgold.com/eng/about/boardofdirectors/anna_kolonchin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lunevsky\AppData\Roaming\Microsoft\Templates\Normal-S%20(Arial)-e.dotx"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DAE63-5F91-4B21-9217-8AF8E0178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Normal-S (Arial)-e.dotx</Template>
  <TotalTime>15</TotalTime>
  <Pages>64</Pages>
  <Words>24702</Words>
  <Characters>140811</Characters>
  <Application>Microsoft Office Word</Application>
  <DocSecurity>0</DocSecurity>
  <Lines>1173</Lines>
  <Paragraphs>330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Deloitte &amp; Touche RCS</Company>
  <LinksUpToDate>false</LinksUpToDate>
  <CharactersWithSpaces>165183</CharactersWithSpaces>
  <SharedDoc>false</SharedDoc>
  <HLinks>
    <vt:vector size="36" baseType="variant">
      <vt:variant>
        <vt:i4>5242900</vt:i4>
      </vt:variant>
      <vt:variant>
        <vt:i4>18</vt:i4>
      </vt:variant>
      <vt:variant>
        <vt:i4>0</vt:i4>
      </vt:variant>
      <vt:variant>
        <vt:i4>5</vt:i4>
      </vt:variant>
      <vt:variant>
        <vt:lpwstr>http://www.polyusgold.com/eng/about/boardofdirectors/pikhoya/</vt:lpwstr>
      </vt:variant>
      <vt:variant>
        <vt:lpwstr/>
      </vt:variant>
      <vt:variant>
        <vt:i4>4653144</vt:i4>
      </vt:variant>
      <vt:variant>
        <vt:i4>15</vt:i4>
      </vt:variant>
      <vt:variant>
        <vt:i4>0</vt:i4>
      </vt:variant>
      <vt:variant>
        <vt:i4>5</vt:i4>
      </vt:variant>
      <vt:variant>
        <vt:lpwstr>http://www.polyusgold.com/eng/about/boardofdirectors/547/</vt:lpwstr>
      </vt:variant>
      <vt:variant>
        <vt:lpwstr/>
      </vt:variant>
      <vt:variant>
        <vt:i4>4456462</vt:i4>
      </vt:variant>
      <vt:variant>
        <vt:i4>12</vt:i4>
      </vt:variant>
      <vt:variant>
        <vt:i4>0</vt:i4>
      </vt:variant>
      <vt:variant>
        <vt:i4>5</vt:i4>
      </vt:variant>
      <vt:variant>
        <vt:lpwstr>http://www.polyusgold.com/eng/about/boardofdirectors/moolman/</vt:lpwstr>
      </vt:variant>
      <vt:variant>
        <vt:lpwstr/>
      </vt:variant>
      <vt:variant>
        <vt:i4>8257548</vt:i4>
      </vt:variant>
      <vt:variant>
        <vt:i4>9</vt:i4>
      </vt:variant>
      <vt:variant>
        <vt:i4>0</vt:i4>
      </vt:variant>
      <vt:variant>
        <vt:i4>5</vt:i4>
      </vt:variant>
      <vt:variant>
        <vt:lpwstr>http://www.polyusgold.com/eng/about/boardofdirectors/anna_kolonchina/</vt:lpwstr>
      </vt:variant>
      <vt:variant>
        <vt:lpwstr/>
      </vt:variant>
      <vt:variant>
        <vt:i4>7012466</vt:i4>
      </vt:variant>
      <vt:variant>
        <vt:i4>6</vt:i4>
      </vt:variant>
      <vt:variant>
        <vt:i4>0</vt:i4>
      </vt:variant>
      <vt:variant>
        <vt:i4>5</vt:i4>
      </vt:variant>
      <vt:variant>
        <vt:lpwstr>http://www.polyusgold.com/eng/about/boardofdirectors/Buck/</vt:lpwstr>
      </vt:variant>
      <vt:variant>
        <vt:lpwstr/>
      </vt:variant>
      <vt:variant>
        <vt:i4>4522073</vt:i4>
      </vt:variant>
      <vt:variant>
        <vt:i4>3</vt:i4>
      </vt:variant>
      <vt:variant>
        <vt:i4>0</vt:i4>
      </vt:variant>
      <vt:variant>
        <vt:i4>5</vt:i4>
      </vt:variant>
      <vt:variant>
        <vt:lpwstr>http://www.polyusgold.com/eng/about/boardofdirectors/656/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Deloitte &amp; Touche</dc:creator>
  <cp:keywords/>
  <cp:lastModifiedBy>Чернушкин Алексей Владимирович</cp:lastModifiedBy>
  <cp:revision>5</cp:revision>
  <cp:lastPrinted>2012-08-29T14:53:00Z</cp:lastPrinted>
  <dcterms:created xsi:type="dcterms:W3CDTF">2012-08-29T18:36:00Z</dcterms:created>
  <dcterms:modified xsi:type="dcterms:W3CDTF">2012-08-30T05:26:00Z</dcterms:modified>
</cp:coreProperties>
</file>